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福  建  中  医  药  大  学</w:t>
      </w:r>
    </w:p>
    <w:p>
      <w:pPr>
        <w:jc w:val="center"/>
        <w:rPr>
          <w:b/>
          <w:sz w:val="32"/>
          <w:szCs w:val="32"/>
        </w:rPr>
      </w:pPr>
      <w:r>
        <w:rPr>
          <w:rFonts w:hint="eastAsia"/>
          <w:b/>
          <w:sz w:val="32"/>
          <w:szCs w:val="32"/>
        </w:rPr>
        <w:t>软  件  采  购  询  价  工  作  单</w:t>
      </w:r>
    </w:p>
    <w:p>
      <w:pPr>
        <w:ind w:firstLine="700" w:firstLineChars="250"/>
        <w:rPr>
          <w:rFonts w:ascii="宋体" w:hAnsi="宋体"/>
          <w:sz w:val="28"/>
          <w:szCs w:val="28"/>
        </w:rPr>
      </w:pPr>
      <w:r>
        <w:rPr>
          <w:rFonts w:hint="eastAsia" w:ascii="宋体" w:hAnsi="宋体"/>
          <w:sz w:val="28"/>
          <w:szCs w:val="28"/>
        </w:rPr>
        <w:t>公司名称（盖章）：</w:t>
      </w:r>
    </w:p>
    <w:tbl>
      <w:tblPr>
        <w:tblStyle w:val="10"/>
        <w:tblW w:w="11713"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001"/>
        <w:gridCol w:w="1863"/>
        <w:gridCol w:w="763"/>
        <w:gridCol w:w="201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pPr>
              <w:jc w:val="center"/>
              <w:rPr>
                <w:rFonts w:ascii="宋体" w:hAnsi="宋体"/>
                <w:sz w:val="24"/>
              </w:rPr>
            </w:pPr>
            <w:r>
              <w:rPr>
                <w:rFonts w:hint="eastAsia" w:ascii="宋体" w:hAnsi="宋体"/>
                <w:sz w:val="24"/>
              </w:rPr>
              <w:t>序号</w:t>
            </w:r>
          </w:p>
        </w:tc>
        <w:tc>
          <w:tcPr>
            <w:tcW w:w="3001" w:type="dxa"/>
            <w:vAlign w:val="center"/>
          </w:tcPr>
          <w:p>
            <w:pPr>
              <w:jc w:val="center"/>
              <w:rPr>
                <w:rFonts w:ascii="宋体" w:hAnsi="宋体"/>
                <w:sz w:val="24"/>
              </w:rPr>
            </w:pPr>
            <w:r>
              <w:rPr>
                <w:rFonts w:hint="eastAsia" w:ascii="宋体" w:hAnsi="宋体"/>
                <w:sz w:val="24"/>
              </w:rPr>
              <w:t>软件或服务名称</w:t>
            </w:r>
          </w:p>
        </w:tc>
        <w:tc>
          <w:tcPr>
            <w:tcW w:w="1863" w:type="dxa"/>
            <w:vAlign w:val="center"/>
          </w:tcPr>
          <w:p>
            <w:pPr>
              <w:jc w:val="center"/>
              <w:rPr>
                <w:rFonts w:ascii="宋体" w:hAnsi="宋体"/>
                <w:sz w:val="24"/>
              </w:rPr>
            </w:pPr>
            <w:r>
              <w:rPr>
                <w:rFonts w:hint="eastAsia" w:ascii="宋体" w:hAnsi="宋体"/>
                <w:sz w:val="24"/>
              </w:rPr>
              <w:t>参考型号</w:t>
            </w:r>
          </w:p>
        </w:tc>
        <w:tc>
          <w:tcPr>
            <w:tcW w:w="763" w:type="dxa"/>
            <w:vAlign w:val="center"/>
          </w:tcPr>
          <w:p>
            <w:pPr>
              <w:jc w:val="center"/>
              <w:rPr>
                <w:rFonts w:ascii="宋体" w:hAnsi="宋体"/>
                <w:sz w:val="24"/>
              </w:rPr>
            </w:pPr>
            <w:r>
              <w:rPr>
                <w:rFonts w:hint="eastAsia" w:ascii="宋体" w:hAnsi="宋体"/>
                <w:sz w:val="24"/>
              </w:rPr>
              <w:t>数量</w:t>
            </w:r>
          </w:p>
        </w:tc>
        <w:tc>
          <w:tcPr>
            <w:tcW w:w="2010" w:type="dxa"/>
            <w:vAlign w:val="center"/>
          </w:tcPr>
          <w:p>
            <w:pPr>
              <w:jc w:val="center"/>
              <w:rPr>
                <w:rFonts w:ascii="宋体" w:hAnsi="宋体"/>
                <w:sz w:val="24"/>
              </w:rPr>
            </w:pPr>
            <w:r>
              <w:rPr>
                <w:rFonts w:hint="eastAsia" w:ascii="宋体" w:hAnsi="宋体"/>
                <w:sz w:val="24"/>
              </w:rPr>
              <w:t>价格</w:t>
            </w:r>
          </w:p>
          <w:p>
            <w:pPr>
              <w:jc w:val="center"/>
              <w:rPr>
                <w:rFonts w:ascii="宋体" w:hAnsi="宋体"/>
                <w:sz w:val="24"/>
              </w:rPr>
            </w:pPr>
            <w:r>
              <w:rPr>
                <w:rFonts w:hint="eastAsia" w:ascii="宋体" w:hAnsi="宋体"/>
                <w:sz w:val="24"/>
              </w:rPr>
              <w:t>（万元）</w:t>
            </w:r>
          </w:p>
        </w:tc>
        <w:tc>
          <w:tcPr>
            <w:tcW w:w="3510"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6" w:type="dxa"/>
            <w:shd w:val="clear" w:color="auto" w:fill="auto"/>
            <w:vAlign w:val="center"/>
          </w:tcPr>
          <w:p>
            <w:pPr>
              <w:jc w:val="center"/>
              <w:rPr>
                <w:rFonts w:ascii="宋体" w:hAnsi="宋体"/>
                <w:szCs w:val="21"/>
              </w:rPr>
            </w:pPr>
            <w:r>
              <w:rPr>
                <w:rFonts w:hint="eastAsia" w:ascii="宋体" w:hAnsi="宋体"/>
                <w:szCs w:val="21"/>
              </w:rPr>
              <w:t>1</w:t>
            </w:r>
          </w:p>
        </w:tc>
        <w:tc>
          <w:tcPr>
            <w:tcW w:w="3001" w:type="dxa"/>
            <w:shd w:val="clear" w:color="FFFF00" w:fill="auto"/>
            <w:vAlign w:val="center"/>
          </w:tcPr>
          <w:p>
            <w:pPr>
              <w:jc w:val="center"/>
              <w:rPr>
                <w:rFonts w:ascii="宋体" w:hAnsi="宋体"/>
              </w:rPr>
            </w:pPr>
          </w:p>
        </w:tc>
        <w:tc>
          <w:tcPr>
            <w:tcW w:w="1863" w:type="dxa"/>
            <w:shd w:val="clear" w:color="FFFF00" w:fill="auto"/>
            <w:vAlign w:val="center"/>
          </w:tcPr>
          <w:p>
            <w:pPr>
              <w:autoSpaceDN w:val="0"/>
              <w:jc w:val="center"/>
              <w:textAlignment w:val="center"/>
              <w:rPr>
                <w:rFonts w:ascii="宋体" w:hAnsi="宋体"/>
                <w:sz w:val="24"/>
              </w:rPr>
            </w:pPr>
          </w:p>
        </w:tc>
        <w:tc>
          <w:tcPr>
            <w:tcW w:w="763" w:type="dxa"/>
            <w:shd w:val="clear" w:color="FFFF00" w:fill="auto"/>
            <w:vAlign w:val="center"/>
          </w:tcPr>
          <w:p>
            <w:pPr>
              <w:jc w:val="center"/>
              <w:rPr>
                <w:rFonts w:ascii="宋体" w:hAnsi="宋体"/>
                <w:szCs w:val="21"/>
              </w:rPr>
            </w:pPr>
          </w:p>
        </w:tc>
        <w:tc>
          <w:tcPr>
            <w:tcW w:w="2010" w:type="dxa"/>
            <w:vAlign w:val="center"/>
          </w:tcPr>
          <w:p>
            <w:pPr>
              <w:jc w:val="center"/>
              <w:rPr>
                <w:rFonts w:ascii="宋体" w:hAnsi="宋体"/>
                <w:sz w:val="24"/>
              </w:rPr>
            </w:pPr>
          </w:p>
        </w:tc>
        <w:tc>
          <w:tcPr>
            <w:tcW w:w="3510" w:type="dxa"/>
            <w:vAlign w:val="center"/>
          </w:tcPr>
          <w:p>
            <w:pPr>
              <w:jc w:val="center"/>
              <w:rPr>
                <w:rFonts w:ascii="宋体" w:hAnsi="宋体"/>
                <w:sz w:val="24"/>
              </w:rPr>
            </w:pPr>
            <w:r>
              <w:rPr>
                <w:rFonts w:hint="eastAsia" w:ascii="宋体" w:hAnsi="宋体"/>
                <w:sz w:val="24"/>
              </w:rPr>
              <w:t>功能需求详见附件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93" w:type="dxa"/>
            <w:gridSpan w:val="4"/>
            <w:vAlign w:val="center"/>
          </w:tcPr>
          <w:p>
            <w:pPr>
              <w:jc w:val="center"/>
              <w:rPr>
                <w:rFonts w:ascii="宋体" w:hAnsi="宋体"/>
                <w:sz w:val="24"/>
              </w:rPr>
            </w:pPr>
            <w:r>
              <w:rPr>
                <w:rFonts w:hint="eastAsia" w:ascii="宋体" w:hAnsi="宋体"/>
                <w:sz w:val="24"/>
              </w:rPr>
              <w:t>合  计</w:t>
            </w:r>
          </w:p>
        </w:tc>
        <w:tc>
          <w:tcPr>
            <w:tcW w:w="2010" w:type="dxa"/>
            <w:vAlign w:val="center"/>
          </w:tcPr>
          <w:p>
            <w:pPr>
              <w:jc w:val="center"/>
              <w:rPr>
                <w:rFonts w:ascii="宋体" w:hAnsi="宋体"/>
                <w:sz w:val="24"/>
              </w:rPr>
            </w:pPr>
          </w:p>
        </w:tc>
        <w:tc>
          <w:tcPr>
            <w:tcW w:w="3510" w:type="dxa"/>
            <w:vAlign w:val="center"/>
          </w:tcPr>
          <w:p>
            <w:pPr>
              <w:jc w:val="center"/>
              <w:rPr>
                <w:rFonts w:ascii="宋体" w:hAnsi="宋体"/>
                <w:sz w:val="24"/>
              </w:rPr>
            </w:pPr>
          </w:p>
        </w:tc>
      </w:tr>
    </w:tbl>
    <w:p>
      <w:pPr>
        <w:rPr>
          <w:rFonts w:ascii="宋体" w:hAnsi="宋体"/>
          <w:sz w:val="28"/>
          <w:szCs w:val="28"/>
        </w:rPr>
      </w:pPr>
      <w:r>
        <w:rPr>
          <w:rFonts w:hint="eastAsia" w:ascii="宋体" w:hAnsi="宋体"/>
          <w:sz w:val="28"/>
          <w:szCs w:val="28"/>
        </w:rPr>
        <w:t xml:space="preserve">         联系人：                                    联系电话：</w:t>
      </w:r>
    </w:p>
    <w:p>
      <w:pPr>
        <w:spacing w:line="400" w:lineRule="exact"/>
        <w:rPr>
          <w:rFonts w:ascii="宋体" w:hAnsi="宋体"/>
          <w:sz w:val="24"/>
        </w:rPr>
      </w:pPr>
      <w:r>
        <w:rPr>
          <w:rFonts w:hint="eastAsia" w:ascii="宋体" w:hAnsi="宋体"/>
          <w:sz w:val="24"/>
        </w:rPr>
        <w:t>1、询价会报名截止时间为</w:t>
      </w:r>
      <w:r>
        <w:rPr>
          <w:rFonts w:ascii="宋体" w:hAnsi="宋体"/>
          <w:sz w:val="24"/>
        </w:rPr>
        <w:t>2019年</w:t>
      </w:r>
      <w:r>
        <w:rPr>
          <w:rFonts w:hint="eastAsia" w:ascii="宋体" w:hAnsi="宋体"/>
          <w:sz w:val="24"/>
          <w:lang w:val="en-US" w:eastAsia="zh-CN"/>
        </w:rPr>
        <w:t>7</w:t>
      </w:r>
      <w:r>
        <w:rPr>
          <w:rFonts w:ascii="宋体" w:hAnsi="宋体"/>
          <w:sz w:val="24"/>
        </w:rPr>
        <w:t>月</w:t>
      </w:r>
      <w:r>
        <w:rPr>
          <w:rFonts w:hint="eastAsia" w:ascii="宋体" w:hAnsi="宋体"/>
          <w:sz w:val="24"/>
          <w:lang w:val="en-US" w:eastAsia="zh-CN"/>
        </w:rPr>
        <w:t>9</w:t>
      </w:r>
      <w:r>
        <w:rPr>
          <w:rFonts w:ascii="宋体" w:hAnsi="宋体"/>
          <w:sz w:val="24"/>
        </w:rPr>
        <w:t>日</w:t>
      </w:r>
      <w:r>
        <w:rPr>
          <w:rFonts w:hint="eastAsia" w:ascii="宋体" w:hAnsi="宋体"/>
          <w:sz w:val="24"/>
        </w:rPr>
        <w:t xml:space="preserve"> 。</w:t>
      </w:r>
    </w:p>
    <w:p>
      <w:pPr>
        <w:spacing w:line="400" w:lineRule="exact"/>
        <w:rPr>
          <w:rFonts w:ascii="宋体" w:hAnsi="宋体"/>
          <w:sz w:val="24"/>
        </w:rPr>
      </w:pPr>
      <w:r>
        <w:rPr>
          <w:rFonts w:hint="eastAsia" w:ascii="宋体" w:hAnsi="宋体"/>
          <w:sz w:val="24"/>
        </w:rPr>
        <w:t>2、参与询价</w:t>
      </w:r>
      <w:r>
        <w:rPr>
          <w:rFonts w:hint="eastAsia" w:ascii="宋体" w:hAnsi="宋体"/>
          <w:sz w:val="24"/>
          <w:lang w:val="en-US" w:eastAsia="zh-CN"/>
        </w:rPr>
        <w:t>的</w:t>
      </w:r>
      <w:r>
        <w:rPr>
          <w:rFonts w:hint="eastAsia" w:ascii="宋体" w:hAnsi="宋体"/>
          <w:sz w:val="24"/>
        </w:rPr>
        <w:t>公司</w:t>
      </w:r>
      <w:r>
        <w:rPr>
          <w:rFonts w:hint="eastAsia" w:ascii="宋体" w:hAnsi="宋体"/>
          <w:sz w:val="24"/>
          <w:lang w:val="en-US" w:eastAsia="zh-CN"/>
        </w:rPr>
        <w:t>须</w:t>
      </w:r>
      <w:r>
        <w:rPr>
          <w:rFonts w:hint="eastAsia" w:ascii="宋体" w:hAnsi="宋体"/>
          <w:sz w:val="24"/>
        </w:rPr>
        <w:t>完成技术偏离表</w:t>
      </w:r>
      <w:r>
        <w:rPr>
          <w:rFonts w:hint="eastAsia" w:ascii="宋体" w:hAnsi="宋体"/>
          <w:sz w:val="24"/>
          <w:lang w:eastAsia="zh-CN"/>
        </w:rPr>
        <w:t>，</w:t>
      </w:r>
      <w:r>
        <w:rPr>
          <w:rFonts w:hint="eastAsia" w:ascii="宋体" w:hAnsi="宋体"/>
          <w:sz w:val="24"/>
          <w:lang w:val="en-US" w:eastAsia="zh-CN"/>
        </w:rPr>
        <w:t>提交</w:t>
      </w:r>
      <w:r>
        <w:rPr>
          <w:rFonts w:hint="eastAsia" w:ascii="宋体" w:hAnsi="宋体"/>
          <w:sz w:val="24"/>
        </w:rPr>
        <w:t>供货时间。</w:t>
      </w:r>
    </w:p>
    <w:p>
      <w:pPr>
        <w:spacing w:line="400" w:lineRule="exact"/>
        <w:rPr>
          <w:rFonts w:ascii="宋体" w:hAnsi="宋体"/>
          <w:sz w:val="24"/>
        </w:rPr>
      </w:pPr>
      <w:r>
        <w:rPr>
          <w:rFonts w:hint="eastAsia" w:ascii="宋体" w:hAnsi="宋体"/>
          <w:sz w:val="24"/>
        </w:rPr>
        <w:t>3、报价均为福州现场交货人民币价。</w:t>
      </w:r>
    </w:p>
    <w:p>
      <w:pPr>
        <w:spacing w:line="400" w:lineRule="exact"/>
        <w:rPr>
          <w:rFonts w:ascii="宋体" w:hAnsi="宋体"/>
          <w:sz w:val="24"/>
        </w:rPr>
      </w:pPr>
      <w:r>
        <w:rPr>
          <w:rFonts w:hint="eastAsia" w:ascii="宋体" w:hAnsi="宋体"/>
          <w:sz w:val="24"/>
        </w:rPr>
        <w:t>4、报价的产品应提供原厂的产品彩页或软件说明书。</w:t>
      </w:r>
    </w:p>
    <w:p>
      <w:pPr>
        <w:spacing w:line="400" w:lineRule="exact"/>
        <w:rPr>
          <w:rFonts w:ascii="宋体" w:hAnsi="宋体"/>
          <w:sz w:val="24"/>
        </w:rPr>
      </w:pPr>
      <w:r>
        <w:rPr>
          <w:rFonts w:hint="eastAsia" w:ascii="宋体" w:hAnsi="宋体"/>
          <w:sz w:val="24"/>
        </w:rPr>
        <w:t>5、询价单一式四份</w:t>
      </w:r>
    </w:p>
    <w:p>
      <w:pPr>
        <w:spacing w:line="400" w:lineRule="exact"/>
        <w:rPr>
          <w:rFonts w:ascii="宋体" w:hAnsi="宋体"/>
          <w:sz w:val="24"/>
        </w:rPr>
      </w:pPr>
      <w:r>
        <w:rPr>
          <w:rFonts w:hint="eastAsia" w:ascii="宋体" w:hAnsi="宋体"/>
          <w:sz w:val="24"/>
        </w:rPr>
        <w:t xml:space="preserve">6、询价时间和地点:时间-- </w:t>
      </w:r>
      <w:r>
        <w:rPr>
          <w:rFonts w:ascii="宋体" w:hAnsi="宋体"/>
          <w:sz w:val="24"/>
        </w:rPr>
        <w:t>2019年</w:t>
      </w:r>
      <w:r>
        <w:rPr>
          <w:rFonts w:hint="eastAsia" w:ascii="宋体" w:hAnsi="宋体"/>
          <w:sz w:val="24"/>
          <w:lang w:val="en-US" w:eastAsia="zh-CN"/>
        </w:rPr>
        <w:t>7</w:t>
      </w:r>
      <w:r>
        <w:rPr>
          <w:rFonts w:ascii="宋体" w:hAnsi="宋体"/>
          <w:sz w:val="24"/>
        </w:rPr>
        <w:t>月</w:t>
      </w:r>
      <w:r>
        <w:rPr>
          <w:rFonts w:hint="eastAsia" w:ascii="宋体" w:hAnsi="宋体"/>
          <w:sz w:val="24"/>
          <w:lang w:val="en-US" w:eastAsia="zh-CN"/>
        </w:rPr>
        <w:t>9</w:t>
      </w:r>
      <w:r>
        <w:rPr>
          <w:rFonts w:ascii="宋体" w:hAnsi="宋体"/>
          <w:sz w:val="24"/>
        </w:rPr>
        <w:t>日</w:t>
      </w:r>
      <w:r>
        <w:rPr>
          <w:rFonts w:hint="eastAsia" w:ascii="宋体" w:hAnsi="宋体"/>
          <w:sz w:val="24"/>
        </w:rPr>
        <w:t xml:space="preserve"> </w:t>
      </w:r>
      <w:r>
        <w:rPr>
          <w:rFonts w:hint="eastAsia" w:ascii="宋体" w:hAnsi="宋体"/>
          <w:sz w:val="24"/>
          <w:lang w:val="en-US" w:eastAsia="zh-CN"/>
        </w:rPr>
        <w:t>上</w:t>
      </w:r>
      <w:r>
        <w:rPr>
          <w:rFonts w:hint="eastAsia" w:ascii="宋体" w:hAnsi="宋体"/>
          <w:sz w:val="24"/>
        </w:rPr>
        <w:t>午</w:t>
      </w:r>
      <w:r>
        <w:rPr>
          <w:rFonts w:hint="eastAsia" w:ascii="宋体" w:hAnsi="宋体"/>
          <w:sz w:val="24"/>
          <w:lang w:val="en-US" w:eastAsia="zh-CN"/>
        </w:rPr>
        <w:t>9</w:t>
      </w:r>
      <w:r>
        <w:rPr>
          <w:rFonts w:hint="eastAsia" w:ascii="宋体" w:hAnsi="宋体"/>
          <w:sz w:val="24"/>
        </w:rPr>
        <w:t>:</w:t>
      </w:r>
      <w:r>
        <w:rPr>
          <w:rFonts w:ascii="宋体" w:hAnsi="宋体"/>
          <w:sz w:val="24"/>
        </w:rPr>
        <w:t>3</w:t>
      </w:r>
      <w:r>
        <w:rPr>
          <w:rFonts w:hint="eastAsia" w:ascii="宋体" w:hAnsi="宋体"/>
          <w:sz w:val="24"/>
        </w:rPr>
        <w:t>0，地点----</w:t>
      </w:r>
      <w:r>
        <w:rPr>
          <w:rFonts w:hint="eastAsia" w:ascii="宋体" w:hAnsi="宋体"/>
          <w:sz w:val="24"/>
          <w:lang w:val="en-US" w:eastAsia="zh-CN"/>
        </w:rPr>
        <w:t>图书馆六楼</w:t>
      </w:r>
      <w:r>
        <w:rPr>
          <w:rFonts w:hint="eastAsia" w:ascii="宋体" w:hAnsi="宋体"/>
          <w:sz w:val="24"/>
        </w:rPr>
        <w:t>会议室。</w:t>
      </w:r>
    </w:p>
    <w:p>
      <w:pPr>
        <w:jc w:val="center"/>
        <w:rPr>
          <w:rFonts w:ascii="隶书" w:eastAsia="隶书"/>
          <w:sz w:val="36"/>
          <w:szCs w:val="32"/>
        </w:rPr>
      </w:pPr>
    </w:p>
    <w:p>
      <w:pPr>
        <w:jc w:val="center"/>
        <w:rPr>
          <w:rFonts w:ascii="隶书" w:eastAsia="隶书"/>
          <w:sz w:val="36"/>
          <w:szCs w:val="32"/>
        </w:rPr>
      </w:pPr>
    </w:p>
    <w:p>
      <w:pPr>
        <w:rPr>
          <w:rFonts w:ascii="隶书" w:eastAsia="隶书"/>
          <w:sz w:val="36"/>
          <w:szCs w:val="32"/>
        </w:rPr>
      </w:pPr>
    </w:p>
    <w:p>
      <w:pPr>
        <w:jc w:val="center"/>
        <w:rPr>
          <w:rFonts w:ascii="隶书" w:eastAsia="隶书"/>
          <w:sz w:val="36"/>
          <w:szCs w:val="32"/>
        </w:rPr>
      </w:pPr>
      <w:r>
        <w:rPr>
          <w:rFonts w:hint="eastAsia" w:ascii="隶书" w:eastAsia="隶书"/>
          <w:sz w:val="36"/>
          <w:szCs w:val="32"/>
        </w:rPr>
        <w:t>技术规格偏离表</w:t>
      </w:r>
    </w:p>
    <w:p>
      <w:pPr>
        <w:tabs>
          <w:tab w:val="left" w:pos="5355"/>
        </w:tabs>
        <w:spacing w:line="360" w:lineRule="auto"/>
        <w:rPr>
          <w:rFonts w:ascii="仿宋_GB2312" w:hAnsi="宋体" w:eastAsia="仿宋_GB2312"/>
          <w:sz w:val="24"/>
        </w:rPr>
      </w:pPr>
      <w:r>
        <w:rPr>
          <w:rFonts w:hint="eastAsia" w:ascii="仿宋_GB2312" w:hAnsi="宋体" w:eastAsia="仿宋_GB2312"/>
          <w:sz w:val="24"/>
        </w:rPr>
        <w:t>报价方名称（全称）：</w:t>
      </w:r>
    </w:p>
    <w:tbl>
      <w:tblPr>
        <w:tblStyle w:val="10"/>
        <w:tblW w:w="1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4262"/>
        <w:gridCol w:w="4262"/>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649" w:type="dxa"/>
            <w:vAlign w:val="center"/>
          </w:tcPr>
          <w:p>
            <w:pPr>
              <w:tabs>
                <w:tab w:val="left" w:pos="5355"/>
              </w:tabs>
              <w:spacing w:line="240" w:lineRule="exact"/>
              <w:ind w:right="-15" w:rightChars="-7"/>
              <w:jc w:val="center"/>
              <w:rPr>
                <w:rFonts w:ascii="宋体" w:hAnsi="宋体"/>
                <w:spacing w:val="-10"/>
              </w:rPr>
            </w:pPr>
            <w:r>
              <w:rPr>
                <w:rFonts w:hint="eastAsia" w:ascii="宋体" w:hAnsi="宋体"/>
                <w:spacing w:val="-10"/>
              </w:rPr>
              <w:t>序号</w:t>
            </w:r>
          </w:p>
        </w:tc>
        <w:tc>
          <w:tcPr>
            <w:tcW w:w="4262" w:type="dxa"/>
            <w:vAlign w:val="center"/>
          </w:tcPr>
          <w:p>
            <w:pPr>
              <w:tabs>
                <w:tab w:val="left" w:pos="5355"/>
              </w:tabs>
              <w:spacing w:line="240" w:lineRule="exact"/>
              <w:ind w:right="-15" w:rightChars="-7"/>
              <w:jc w:val="center"/>
              <w:rPr>
                <w:rFonts w:ascii="宋体" w:hAnsi="宋体"/>
                <w:spacing w:val="-10"/>
              </w:rPr>
            </w:pPr>
            <w:r>
              <w:rPr>
                <w:rFonts w:hint="eastAsia" w:ascii="宋体" w:hAnsi="宋体"/>
                <w:spacing w:val="-10"/>
              </w:rPr>
              <w:t>技 术 要 求</w:t>
            </w:r>
          </w:p>
        </w:tc>
        <w:tc>
          <w:tcPr>
            <w:tcW w:w="4262" w:type="dxa"/>
            <w:vAlign w:val="center"/>
          </w:tcPr>
          <w:p>
            <w:pPr>
              <w:tabs>
                <w:tab w:val="left" w:pos="5355"/>
              </w:tabs>
              <w:spacing w:line="240" w:lineRule="exact"/>
              <w:ind w:right="-15" w:rightChars="-7"/>
              <w:jc w:val="center"/>
              <w:rPr>
                <w:rFonts w:ascii="宋体" w:hAnsi="宋体"/>
                <w:spacing w:val="-10"/>
              </w:rPr>
            </w:pPr>
            <w:r>
              <w:rPr>
                <w:rFonts w:hint="eastAsia" w:ascii="宋体" w:hAnsi="宋体"/>
                <w:spacing w:val="-10"/>
              </w:rPr>
              <w:t xml:space="preserve"> 响 应 情 况</w:t>
            </w:r>
          </w:p>
        </w:tc>
        <w:tc>
          <w:tcPr>
            <w:tcW w:w="4262" w:type="dxa"/>
            <w:vAlign w:val="center"/>
          </w:tcPr>
          <w:p>
            <w:pPr>
              <w:tabs>
                <w:tab w:val="left" w:pos="5355"/>
              </w:tabs>
              <w:spacing w:line="240" w:lineRule="exact"/>
              <w:ind w:right="-15" w:rightChars="-7"/>
              <w:jc w:val="center"/>
              <w:rPr>
                <w:rFonts w:ascii="宋体" w:hAnsi="宋体"/>
                <w:spacing w:val="-10"/>
              </w:rPr>
            </w:pPr>
            <w:r>
              <w:rPr>
                <w:rFonts w:hint="eastAsia" w:ascii="宋体" w:hAnsi="宋体"/>
                <w:spacing w:val="-10"/>
              </w:rPr>
              <w:t>偏 离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jc w:val="center"/>
              <w:rPr>
                <w:rFonts w:ascii="仿宋_GB2312" w:hAnsi="宋体" w:eastAsia="仿宋_GB2312"/>
                <w:sz w:val="18"/>
                <w:u w:val="single"/>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9" w:type="dxa"/>
            <w:vAlign w:val="center"/>
          </w:tcPr>
          <w:p>
            <w:pPr>
              <w:tabs>
                <w:tab w:val="left" w:pos="5355"/>
              </w:tabs>
              <w:jc w:val="center"/>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c>
          <w:tcPr>
            <w:tcW w:w="4262" w:type="dxa"/>
            <w:vAlign w:val="center"/>
          </w:tcPr>
          <w:p>
            <w:pPr>
              <w:tabs>
                <w:tab w:val="left" w:pos="5355"/>
              </w:tabs>
              <w:rPr>
                <w:rFonts w:ascii="仿宋_GB2312" w:hAnsi="宋体" w:eastAsia="仿宋_GB2312"/>
                <w:sz w:val="18"/>
              </w:rPr>
            </w:pPr>
          </w:p>
        </w:tc>
      </w:tr>
    </w:tbl>
    <w:p/>
    <w:p/>
    <w:p/>
    <w:p/>
    <w:p>
      <w:pPr>
        <w:rPr>
          <w:b/>
          <w:bCs/>
          <w:sz w:val="24"/>
        </w:rPr>
      </w:pPr>
    </w:p>
    <w:p>
      <w:pPr>
        <w:pStyle w:val="2"/>
        <w:numPr>
          <w:ilvl w:val="0"/>
          <w:numId w:val="0"/>
        </w:numPr>
        <w:tabs>
          <w:tab w:val="left" w:pos="3969"/>
          <w:tab w:val="left" w:pos="4275"/>
          <w:tab w:val="left" w:pos="4417"/>
        </w:tabs>
        <w:jc w:val="center"/>
        <w:rPr>
          <w:rFonts w:hint="eastAsia" w:ascii="宋体" w:hAnsi="宋体" w:eastAsia="宋体" w:cs="宋体"/>
          <w:szCs w:val="44"/>
        </w:rPr>
      </w:pPr>
      <w:bookmarkStart w:id="0" w:name="_Toc298513609"/>
      <w:r>
        <w:rPr>
          <w:rFonts w:hint="eastAsia" w:ascii="宋体" w:hAnsi="宋体" w:eastAsia="宋体" w:cs="宋体"/>
          <w:szCs w:val="44"/>
        </w:rPr>
        <w:t>资产综合信息平台管理系统升级</w:t>
      </w:r>
    </w:p>
    <w:bookmarkEnd w:id="0"/>
    <w:p>
      <w:pPr>
        <w:adjustRightInd w:val="0"/>
        <w:snapToGrid w:val="0"/>
        <w:spacing w:line="500" w:lineRule="exact"/>
        <w:rPr>
          <w:rFonts w:hint="default" w:ascii="宋体" w:hAnsi="宋体" w:eastAsia="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lang w:val="en-US" w:eastAsia="zh-CN"/>
        </w:rPr>
        <w:t>商务条件</w:t>
      </w:r>
    </w:p>
    <w:p>
      <w:pPr>
        <w:adjustRightInd w:val="0"/>
        <w:snapToGrid w:val="0"/>
        <w:spacing w:line="500" w:lineRule="exact"/>
        <w:rPr>
          <w:rFonts w:ascii="宋体" w:hAnsi="宋体" w:eastAsia="宋体" w:cs="宋体"/>
          <w:b/>
          <w:bCs/>
          <w:sz w:val="24"/>
          <w:szCs w:val="24"/>
        </w:rPr>
      </w:pPr>
      <w:r>
        <w:rPr>
          <w:rFonts w:hint="eastAsia" w:ascii="宋体" w:hAnsi="宋体" w:eastAsia="宋体" w:cs="宋体"/>
          <w:b/>
          <w:bCs/>
          <w:sz w:val="24"/>
          <w:szCs w:val="24"/>
        </w:rPr>
        <w:t>一、免费维护期</w:t>
      </w:r>
    </w:p>
    <w:p>
      <w:pPr>
        <w:adjustRightInd w:val="0"/>
        <w:snapToGrid w:val="0"/>
        <w:spacing w:line="500" w:lineRule="exact"/>
        <w:ind w:firstLine="480" w:firstLineChars="200"/>
        <w:rPr>
          <w:rFonts w:ascii="宋体" w:hAnsi="宋体" w:eastAsia="宋体" w:cs="宋体"/>
          <w:bCs/>
          <w:sz w:val="24"/>
          <w:szCs w:val="24"/>
        </w:rPr>
      </w:pPr>
      <w:r>
        <w:rPr>
          <w:rFonts w:hint="eastAsia" w:ascii="宋体" w:hAnsi="宋体" w:eastAsia="宋体" w:cs="宋体"/>
          <w:bCs/>
          <w:sz w:val="24"/>
          <w:szCs w:val="24"/>
        </w:rPr>
        <w:t>免费维护期贰年。</w:t>
      </w:r>
    </w:p>
    <w:p>
      <w:pPr>
        <w:adjustRightInd w:val="0"/>
        <w:snapToGrid w:val="0"/>
        <w:spacing w:line="500" w:lineRule="exact"/>
        <w:rPr>
          <w:rFonts w:ascii="宋体" w:hAnsi="宋体" w:eastAsia="宋体" w:cs="宋体"/>
          <w:b/>
          <w:bCs/>
          <w:sz w:val="24"/>
          <w:szCs w:val="24"/>
        </w:rPr>
      </w:pPr>
      <w:r>
        <w:rPr>
          <w:rFonts w:hint="eastAsia" w:ascii="宋体" w:hAnsi="宋体" w:eastAsia="宋体" w:cs="宋体"/>
          <w:b/>
          <w:bCs/>
          <w:sz w:val="24"/>
          <w:szCs w:val="24"/>
        </w:rPr>
        <w:t>二、供货期</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合同签订后</w:t>
      </w:r>
      <w:r>
        <w:rPr>
          <w:rFonts w:ascii="宋体" w:hAnsi="宋体" w:eastAsia="宋体" w:cs="宋体"/>
          <w:sz w:val="24"/>
          <w:szCs w:val="24"/>
        </w:rPr>
        <w:t>9</w:t>
      </w:r>
      <w:r>
        <w:rPr>
          <w:rFonts w:hint="eastAsia" w:ascii="宋体" w:hAnsi="宋体" w:eastAsia="宋体" w:cs="宋体"/>
          <w:sz w:val="24"/>
          <w:szCs w:val="24"/>
        </w:rPr>
        <w:t>0日历天内并交付使用。</w:t>
      </w:r>
    </w:p>
    <w:p>
      <w:pPr>
        <w:adjustRightInd w:val="0"/>
        <w:snapToGrid w:val="0"/>
        <w:spacing w:line="500" w:lineRule="exact"/>
        <w:rPr>
          <w:rFonts w:ascii="宋体" w:hAnsi="宋体" w:eastAsia="宋体" w:cs="宋体"/>
          <w:b/>
          <w:bCs/>
          <w:sz w:val="24"/>
          <w:szCs w:val="24"/>
        </w:rPr>
      </w:pPr>
      <w:r>
        <w:rPr>
          <w:rFonts w:hint="eastAsia" w:ascii="宋体" w:hAnsi="宋体" w:eastAsia="宋体" w:cs="宋体"/>
          <w:b/>
          <w:bCs/>
          <w:sz w:val="24"/>
          <w:szCs w:val="24"/>
        </w:rPr>
        <w:t>三、售后服务、维修保养及技术培训等要求</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1.自所有应用系统项目试运行结束</w:t>
      </w:r>
      <w:r>
        <w:rPr>
          <w:rFonts w:hint="eastAsia" w:ascii="宋体" w:hAnsi="宋体" w:eastAsia="宋体" w:cs="宋体"/>
          <w:sz w:val="24"/>
          <w:szCs w:val="24"/>
          <w:lang w:val="en-US" w:eastAsia="zh-CN"/>
        </w:rPr>
        <w:t>,且验收合格</w:t>
      </w:r>
      <w:r>
        <w:rPr>
          <w:rFonts w:hint="eastAsia" w:ascii="宋体" w:hAnsi="宋体" w:eastAsia="宋体" w:cs="宋体"/>
          <w:sz w:val="24"/>
          <w:szCs w:val="24"/>
        </w:rPr>
        <w:t>后贰年为免费维护期，包括软件版本更新与升级服务。维护期满后提供终身有偿维修保养服务，每年维护费按采购合同中的总价不超</w:t>
      </w:r>
      <w:r>
        <w:rPr>
          <w:rFonts w:ascii="宋体" w:hAnsi="宋体" w:eastAsia="宋体" w:cs="宋体"/>
          <w:sz w:val="24"/>
          <w:szCs w:val="24"/>
        </w:rPr>
        <w:t>8</w:t>
      </w:r>
      <w:r>
        <w:rPr>
          <w:rFonts w:hint="eastAsia" w:ascii="宋体" w:hAnsi="宋体" w:eastAsia="宋体" w:cs="宋体"/>
          <w:sz w:val="24"/>
          <w:szCs w:val="24"/>
        </w:rPr>
        <w:t>%，列出总详细费用，并优惠提供备件。</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2.免费维护期内提供5*8小时在线技术服务以及7*24小时的电话服务。如遇重大或紧急问题，通过电话或远程无法解决的，在接到用户报修后48小时内，工程技术人员到达用户现场提供服务。如需更换零部件，只收取材料费,如不能及时解决问题要提供备机服务，直到原设备修复。供应商应在投标文件中明确用户提出维修后的响应时间（到达用户时间）。</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3．定期巡检，每年不少于两次全免费上门服务（人力+配件），终身有偿维护，对于系统自身BUG等问题终身保修。</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 xml:space="preserve">4．技术服务：按供应商所投标产品厂家的技术要求进行服务，供应商提出培训计划和安排，所需费用包含在投标总报价中，并报出单项价格。 </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5.安装调试：供应商派出项目经理、技术负责人员到用户现场安装调试。</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6.项目技术培训：项目产品正常运行后，中标人负责在项目现场为所投项目培训1-2名技术人员，并对全校操作使用人员进行操作培训。项目验收后，每学期对用户进行免费培训一次（若有使用方认为必要）、安装、调试，使其达到熟练、独立的使用、操作、日常维护等操作，和用户签订售后服务承诺书,并提前提供培训方案，培训所需费用包含在投标总报价中。</w:t>
      </w:r>
    </w:p>
    <w:p>
      <w:pPr>
        <w:adjustRightInd w:val="0"/>
        <w:snapToGrid w:val="0"/>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7.应按照附表中规定的设备技术参数提供全新合格产品，并有详细的中文或英文操作规定说明书等资料，产品性能严格符合该产品出厂的参数标准，且完全提供该产品出厂时所配备的附件，并保证产品质量标准。</w:t>
      </w:r>
    </w:p>
    <w:p>
      <w:pPr>
        <w:adjustRightInd w:val="0"/>
        <w:snapToGrid w:val="0"/>
        <w:spacing w:line="500" w:lineRule="exact"/>
        <w:rPr>
          <w:rFonts w:hint="default" w:ascii="宋体" w:hAnsi="宋体" w:eastAsia="宋体" w:cs="宋体"/>
          <w:b/>
          <w:bCs/>
          <w:sz w:val="24"/>
          <w:szCs w:val="24"/>
          <w:lang w:val="en-US" w:eastAsia="zh-CN"/>
        </w:rPr>
      </w:pPr>
      <w:r>
        <w:rPr>
          <w:rFonts w:hint="eastAsia" w:ascii="宋体" w:hAnsi="宋体" w:eastAsia="宋体" w:cs="宋体"/>
          <w:sz w:val="24"/>
          <w:szCs w:val="24"/>
        </w:rPr>
        <w:br w:type="page"/>
      </w: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hint="eastAsia" w:ascii="宋体" w:hAnsi="宋体" w:cs="宋体"/>
          <w:b/>
          <w:bCs/>
          <w:sz w:val="24"/>
          <w:szCs w:val="24"/>
          <w:lang w:val="en-US" w:eastAsia="zh-CN"/>
        </w:rPr>
        <w:t>技术条件</w:t>
      </w:r>
    </w:p>
    <w:p>
      <w:pPr>
        <w:spacing w:line="360" w:lineRule="auto"/>
        <w:jc w:val="center"/>
        <w:rPr>
          <w:rFonts w:ascii="宋体" w:hAnsi="宋体" w:eastAsia="宋体" w:cs="宋体"/>
          <w:sz w:val="24"/>
          <w:szCs w:val="24"/>
        </w:rPr>
      </w:pPr>
    </w:p>
    <w:p>
      <w:pPr>
        <w:pStyle w:val="31"/>
        <w:ind w:firstLine="0" w:firstLineChars="0"/>
        <w:rPr>
          <w:rFonts w:ascii="宋体" w:hAnsi="宋体" w:cs="宋体"/>
          <w:b/>
          <w:bCs/>
        </w:rPr>
      </w:pPr>
      <w:r>
        <w:rPr>
          <w:rFonts w:hint="eastAsia" w:ascii="宋体" w:hAnsi="宋体" w:cs="宋体"/>
          <w:b/>
          <w:bCs/>
        </w:rPr>
        <w:t>一、项目采购清单</w:t>
      </w:r>
    </w:p>
    <w:tbl>
      <w:tblPr>
        <w:tblStyle w:val="10"/>
        <w:tblW w:w="92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1"/>
        <w:gridCol w:w="1873"/>
        <w:gridCol w:w="5954"/>
        <w:gridCol w:w="8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51" w:type="dxa"/>
            <w:shd w:val="clear" w:color="000000" w:fill="D9D9D9"/>
            <w:vAlign w:val="center"/>
          </w:tcPr>
          <w:p>
            <w:pPr>
              <w:spacing w:line="240" w:lineRule="exact"/>
              <w:rPr>
                <w:rFonts w:ascii="宋体" w:hAnsi="宋体" w:eastAsia="宋体" w:cs="宋体"/>
                <w:b/>
                <w:sz w:val="24"/>
                <w:szCs w:val="24"/>
              </w:rPr>
            </w:pPr>
            <w:r>
              <w:rPr>
                <w:rFonts w:hint="eastAsia" w:ascii="宋体" w:hAnsi="宋体" w:eastAsia="宋体" w:cs="宋体"/>
                <w:b/>
                <w:sz w:val="24"/>
                <w:szCs w:val="24"/>
              </w:rPr>
              <w:t>序号</w:t>
            </w:r>
          </w:p>
        </w:tc>
        <w:tc>
          <w:tcPr>
            <w:tcW w:w="1873" w:type="dxa"/>
            <w:shd w:val="clear" w:color="000000" w:fill="D9D9D9"/>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项目</w:t>
            </w:r>
          </w:p>
        </w:tc>
        <w:tc>
          <w:tcPr>
            <w:tcW w:w="5954" w:type="dxa"/>
            <w:shd w:val="clear" w:color="000000" w:fill="D9D9D9"/>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建设内容及功能模块</w:t>
            </w:r>
          </w:p>
        </w:tc>
        <w:tc>
          <w:tcPr>
            <w:tcW w:w="889" w:type="dxa"/>
            <w:shd w:val="clear" w:color="000000" w:fill="D9D9D9"/>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51" w:type="dxa"/>
            <w:shd w:val="clear" w:color="000000" w:fill="FFFFFF"/>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1</w:t>
            </w:r>
          </w:p>
        </w:tc>
        <w:tc>
          <w:tcPr>
            <w:tcW w:w="1873" w:type="dxa"/>
            <w:shd w:val="clear" w:color="000000" w:fill="FFFFFF"/>
            <w:vAlign w:val="center"/>
          </w:tcPr>
          <w:p>
            <w:pPr>
              <w:spacing w:line="240" w:lineRule="exact"/>
              <w:rPr>
                <w:rFonts w:ascii="宋体" w:hAnsi="宋体" w:eastAsia="宋体" w:cs="宋体"/>
                <w:sz w:val="24"/>
                <w:szCs w:val="24"/>
                <w:lang w:bidi="he-IL"/>
              </w:rPr>
            </w:pPr>
            <w:r>
              <w:rPr>
                <w:rFonts w:hint="eastAsia" w:ascii="宋体" w:hAnsi="宋体" w:eastAsia="宋体" w:cs="宋体"/>
                <w:sz w:val="24"/>
                <w:szCs w:val="24"/>
                <w:lang w:bidi="he-IL"/>
              </w:rPr>
              <w:t>资产综合信息平台管理系统</w:t>
            </w:r>
          </w:p>
        </w:tc>
        <w:tc>
          <w:tcPr>
            <w:tcW w:w="5954" w:type="dxa"/>
            <w:shd w:val="clear" w:color="000000" w:fill="FFFFFF"/>
            <w:vAlign w:val="center"/>
          </w:tcPr>
          <w:tbl>
            <w:tblPr>
              <w:tblStyle w:val="10"/>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仪器设备管理模块</w:t>
                  </w:r>
                </w:p>
              </w:tc>
              <w:tc>
                <w:tcPr>
                  <w:tcW w:w="1581" w:type="dxa"/>
                  <w:vMerge w:val="restart"/>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原有模块升级，B/S架构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家具管理模块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房屋及土地管理模块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图书管理模块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无形资产管理模块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资产调剂管理模块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tcPr>
                <w:p>
                  <w:pPr>
                    <w:spacing w:line="240" w:lineRule="exact"/>
                    <w:rPr>
                      <w:rFonts w:ascii="宋体" w:hAnsi="宋体" w:eastAsia="宋体" w:cs="宋体"/>
                      <w:sz w:val="24"/>
                      <w:szCs w:val="24"/>
                    </w:rPr>
                  </w:pPr>
                  <w:r>
                    <w:rPr>
                      <w:rFonts w:hint="eastAsia" w:ascii="宋体" w:hAnsi="宋体" w:eastAsia="宋体" w:cs="宋体"/>
                      <w:sz w:val="24"/>
                      <w:szCs w:val="24"/>
                    </w:rPr>
                    <w:t>资产汇总及分析管理模块</w:t>
                  </w:r>
                </w:p>
              </w:tc>
              <w:tc>
                <w:tcPr>
                  <w:tcW w:w="1581" w:type="dxa"/>
                  <w:vMerge w:val="restart"/>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新增模块， 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tcPr>
                <w:p>
                  <w:pPr>
                    <w:spacing w:line="240" w:lineRule="exact"/>
                    <w:rPr>
                      <w:rFonts w:ascii="宋体" w:hAnsi="宋体" w:eastAsia="宋体" w:cs="宋体"/>
                      <w:sz w:val="24"/>
                      <w:szCs w:val="24"/>
                    </w:rPr>
                  </w:pPr>
                  <w:r>
                    <w:rPr>
                      <w:rFonts w:hint="eastAsia" w:ascii="宋体" w:hAnsi="宋体" w:eastAsia="宋体" w:cs="宋体"/>
                      <w:sz w:val="24"/>
                      <w:szCs w:val="24"/>
                    </w:rPr>
                    <w:t>资产折旧管理模块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tcPr>
                <w:p>
                  <w:pPr>
                    <w:spacing w:line="240" w:lineRule="exact"/>
                    <w:rPr>
                      <w:rFonts w:ascii="宋体" w:hAnsi="宋体" w:eastAsia="宋体" w:cs="宋体"/>
                      <w:sz w:val="24"/>
                      <w:szCs w:val="24"/>
                    </w:rPr>
                  </w:pPr>
                  <w:r>
                    <w:rPr>
                      <w:rFonts w:hint="eastAsia" w:ascii="宋体" w:hAnsi="宋体" w:eastAsia="宋体" w:cs="宋体"/>
                      <w:sz w:val="24"/>
                      <w:szCs w:val="24"/>
                    </w:rPr>
                    <w:t>二维码技术应用（含简易电子签章）模块</w:t>
                  </w:r>
                </w:p>
              </w:tc>
              <w:tc>
                <w:tcPr>
                  <w:tcW w:w="1581" w:type="dxa"/>
                  <w:vMerge w:val="continue"/>
                  <w:vAlign w:val="center"/>
                </w:tcPr>
                <w:p>
                  <w:pPr>
                    <w:spacing w:line="240" w:lineRule="exac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 w:hRule="atLeast"/>
                <w:jc w:val="center"/>
              </w:trPr>
              <w:tc>
                <w:tcPr>
                  <w:tcW w:w="4510"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资产清查管理模块</w:t>
                  </w:r>
                </w:p>
              </w:tc>
              <w:tc>
                <w:tcPr>
                  <w:tcW w:w="1581" w:type="dxa"/>
                  <w:vMerge w:val="continue"/>
                  <w:vAlign w:val="center"/>
                </w:tcPr>
                <w:p>
                  <w:pPr>
                    <w:spacing w:line="240" w:lineRule="exact"/>
                    <w:rPr>
                      <w:rFonts w:ascii="宋体" w:hAnsi="宋体" w:eastAsia="宋体" w:cs="宋体"/>
                      <w:sz w:val="24"/>
                      <w:szCs w:val="24"/>
                    </w:rPr>
                  </w:pPr>
                </w:p>
              </w:tc>
            </w:tr>
          </w:tbl>
          <w:p>
            <w:pPr>
              <w:spacing w:line="240" w:lineRule="exact"/>
              <w:rPr>
                <w:rFonts w:ascii="宋体" w:hAnsi="宋体" w:eastAsia="宋体" w:cs="宋体"/>
                <w:sz w:val="24"/>
                <w:szCs w:val="24"/>
              </w:rPr>
            </w:pPr>
          </w:p>
        </w:tc>
        <w:tc>
          <w:tcPr>
            <w:tcW w:w="889" w:type="dxa"/>
            <w:shd w:val="clear" w:color="000000" w:fill="FFFFFF"/>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 w:hRule="atLeast"/>
          <w:jc w:val="center"/>
        </w:trPr>
        <w:tc>
          <w:tcPr>
            <w:tcW w:w="551" w:type="dxa"/>
            <w:shd w:val="clear" w:color="000000" w:fill="FFFFFF"/>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2</w:t>
            </w:r>
          </w:p>
        </w:tc>
        <w:tc>
          <w:tcPr>
            <w:tcW w:w="1873"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lang w:bidi="he-IL"/>
              </w:rPr>
              <w:t>移动端</w:t>
            </w:r>
          </w:p>
        </w:tc>
        <w:tc>
          <w:tcPr>
            <w:tcW w:w="5954"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能够在移动设备端完成常规的业务流程操作</w:t>
            </w:r>
          </w:p>
        </w:tc>
        <w:tc>
          <w:tcPr>
            <w:tcW w:w="889"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 w:hRule="atLeast"/>
          <w:jc w:val="center"/>
        </w:trPr>
        <w:tc>
          <w:tcPr>
            <w:tcW w:w="551" w:type="dxa"/>
            <w:shd w:val="clear" w:color="000000" w:fill="FFFFFF"/>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3</w:t>
            </w:r>
          </w:p>
        </w:tc>
        <w:tc>
          <w:tcPr>
            <w:tcW w:w="1873" w:type="dxa"/>
            <w:shd w:val="clear" w:color="000000" w:fill="FFFFFF"/>
            <w:vAlign w:val="center"/>
          </w:tcPr>
          <w:p>
            <w:pPr>
              <w:spacing w:line="240" w:lineRule="exact"/>
              <w:rPr>
                <w:rFonts w:ascii="宋体" w:hAnsi="宋体" w:eastAsia="宋体" w:cs="宋体"/>
                <w:sz w:val="24"/>
                <w:szCs w:val="24"/>
                <w:lang w:bidi="he-IL"/>
              </w:rPr>
            </w:pPr>
            <w:r>
              <w:rPr>
                <w:rFonts w:hint="eastAsia" w:ascii="宋体" w:hAnsi="宋体" w:eastAsia="宋体" w:cs="宋体"/>
                <w:sz w:val="24"/>
                <w:szCs w:val="24"/>
                <w:lang w:bidi="he-IL"/>
              </w:rPr>
              <w:t>与其他业务系统的数据集成对接</w:t>
            </w:r>
          </w:p>
        </w:tc>
        <w:tc>
          <w:tcPr>
            <w:tcW w:w="5954" w:type="dxa"/>
            <w:shd w:val="clear" w:color="000000" w:fill="FFFFFF"/>
            <w:vAlign w:val="center"/>
          </w:tcPr>
          <w:p>
            <w:pPr>
              <w:numPr>
                <w:ilvl w:val="0"/>
                <w:numId w:val="2"/>
              </w:numPr>
              <w:spacing w:line="240" w:lineRule="exact"/>
              <w:rPr>
                <w:rFonts w:ascii="宋体" w:hAnsi="宋体" w:eastAsia="宋体" w:cs="宋体"/>
                <w:sz w:val="24"/>
                <w:szCs w:val="24"/>
              </w:rPr>
            </w:pPr>
            <w:r>
              <w:rPr>
                <w:rFonts w:hint="eastAsia" w:ascii="宋体" w:hAnsi="宋体" w:eastAsia="宋体" w:cs="宋体"/>
                <w:sz w:val="24"/>
                <w:szCs w:val="24"/>
              </w:rPr>
              <w:t>与采购人数字化校园平台（含：今日校园）集成对接</w:t>
            </w:r>
          </w:p>
          <w:p>
            <w:pPr>
              <w:numPr>
                <w:ilvl w:val="0"/>
                <w:numId w:val="2"/>
              </w:numPr>
              <w:spacing w:line="240" w:lineRule="exact"/>
              <w:rPr>
                <w:rFonts w:ascii="宋体" w:hAnsi="宋体" w:eastAsia="宋体" w:cs="宋体"/>
                <w:sz w:val="24"/>
                <w:szCs w:val="24"/>
              </w:rPr>
            </w:pPr>
            <w:r>
              <w:rPr>
                <w:rFonts w:hint="eastAsia" w:ascii="宋体" w:hAnsi="宋体" w:eastAsia="宋体" w:cs="宋体"/>
                <w:sz w:val="24"/>
                <w:szCs w:val="24"/>
              </w:rPr>
              <w:t>与采购人财务管理系统实现数据对接</w:t>
            </w:r>
          </w:p>
        </w:tc>
        <w:tc>
          <w:tcPr>
            <w:tcW w:w="889"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551" w:type="dxa"/>
            <w:shd w:val="clear" w:color="000000" w:fill="FFFFFF"/>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4</w:t>
            </w:r>
          </w:p>
        </w:tc>
        <w:tc>
          <w:tcPr>
            <w:tcW w:w="1873" w:type="dxa"/>
            <w:shd w:val="clear" w:color="000000" w:fill="FFFFFF"/>
            <w:vAlign w:val="center"/>
          </w:tcPr>
          <w:p>
            <w:pPr>
              <w:spacing w:line="240" w:lineRule="exact"/>
              <w:rPr>
                <w:rFonts w:ascii="宋体" w:hAnsi="宋体" w:eastAsia="宋体" w:cs="宋体"/>
                <w:sz w:val="24"/>
                <w:szCs w:val="24"/>
                <w:lang w:bidi="he-IL"/>
              </w:rPr>
            </w:pPr>
            <w:r>
              <w:rPr>
                <w:rFonts w:hint="eastAsia" w:ascii="宋体" w:hAnsi="宋体" w:eastAsia="宋体" w:cs="宋体"/>
                <w:sz w:val="24"/>
                <w:szCs w:val="24"/>
                <w:lang w:bidi="he-IL"/>
              </w:rPr>
              <w:t>数据迁移/清理服务</w:t>
            </w:r>
          </w:p>
        </w:tc>
        <w:tc>
          <w:tcPr>
            <w:tcW w:w="5954"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完成原有资产管理系统的数据迁移工作，保证原数据的全量字段100%准确率精准迁移（以数据抽查、往年报表数据核对结果作为依据）并负责迁移过程及迁移后产生的数据清理工作。在合同期内配合学校完成固定资产管理业务相关的数据治理任务。</w:t>
            </w:r>
          </w:p>
        </w:tc>
        <w:tc>
          <w:tcPr>
            <w:tcW w:w="889" w:type="dxa"/>
            <w:shd w:val="clear" w:color="000000" w:fill="FFFFFF"/>
            <w:vAlign w:val="center"/>
          </w:tcPr>
          <w:p>
            <w:pPr>
              <w:spacing w:line="240" w:lineRule="exact"/>
              <w:rPr>
                <w:rFonts w:ascii="宋体" w:hAnsi="宋体" w:eastAsia="宋体" w:cs="宋体"/>
                <w:sz w:val="24"/>
                <w:szCs w:val="24"/>
              </w:rPr>
            </w:pPr>
            <w:r>
              <w:rPr>
                <w:rFonts w:hint="eastAsia" w:ascii="宋体" w:hAnsi="宋体" w:eastAsia="宋体" w:cs="宋体"/>
                <w:sz w:val="24"/>
                <w:szCs w:val="24"/>
              </w:rPr>
              <w:t>1项</w:t>
            </w:r>
          </w:p>
        </w:tc>
      </w:tr>
    </w:tbl>
    <w:p>
      <w:pPr>
        <w:pStyle w:val="31"/>
        <w:ind w:firstLine="0" w:firstLineChars="0"/>
        <w:rPr>
          <w:rFonts w:ascii="宋体" w:hAnsi="宋体" w:cs="宋体"/>
          <w:b/>
          <w:bCs/>
        </w:rPr>
      </w:pPr>
      <w:r>
        <w:rPr>
          <w:rFonts w:hint="eastAsia" w:ascii="宋体" w:hAnsi="宋体" w:cs="宋体"/>
          <w:b/>
          <w:bCs/>
        </w:rPr>
        <w:t>二、项目技术要求</w:t>
      </w:r>
    </w:p>
    <w:p>
      <w:pPr>
        <w:pStyle w:val="31"/>
        <w:ind w:firstLine="482"/>
        <w:rPr>
          <w:rFonts w:ascii="宋体" w:hAnsi="宋体" w:cs="宋体"/>
          <w:b/>
          <w:bCs/>
        </w:rPr>
      </w:pPr>
      <w:r>
        <w:rPr>
          <w:rFonts w:hint="eastAsia" w:ascii="宋体" w:hAnsi="宋体" w:cs="宋体"/>
          <w:b/>
          <w:bCs/>
        </w:rPr>
        <w:t>1.总体要求</w:t>
      </w:r>
    </w:p>
    <w:p>
      <w:pPr>
        <w:pStyle w:val="31"/>
        <w:ind w:firstLine="480"/>
        <w:rPr>
          <w:rFonts w:ascii="宋体" w:hAnsi="宋体" w:cs="宋体"/>
        </w:rPr>
      </w:pPr>
      <w:r>
        <w:rPr>
          <w:rFonts w:hint="eastAsia" w:ascii="宋体" w:hAnsi="宋体" w:cs="宋体"/>
        </w:rPr>
        <w:t>（1）本次采购项目的所有业务模块均须为制造商自行开发的产品，且要求原厂售后服务，不接受任何形式的服务外包。若为代理产品投标，需提供原制造商授权委托书及服务承诺函。</w:t>
      </w:r>
    </w:p>
    <w:p>
      <w:pPr>
        <w:tabs>
          <w:tab w:val="left" w:pos="72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（2）项目进入试运行阶段时，中标人需配合采购人进行校内信息安全等级保护测评及测评后的技术整改工作。</w:t>
      </w:r>
    </w:p>
    <w:p>
      <w:pPr>
        <w:tabs>
          <w:tab w:val="left" w:pos="72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中标人必须提供项目所建系统与采购人数字化校园基础数据信息服务平台（统一身份认证管理平台、数据集成、今日校园A</w:t>
      </w:r>
      <w:r>
        <w:rPr>
          <w:rFonts w:ascii="宋体" w:hAnsi="宋体" w:eastAsia="宋体" w:cs="宋体"/>
          <w:sz w:val="24"/>
          <w:szCs w:val="24"/>
          <w:lang w:val="zh-CN"/>
        </w:rPr>
        <w:t>PP</w:t>
      </w:r>
      <w:r>
        <w:rPr>
          <w:rFonts w:hint="eastAsia" w:ascii="宋体" w:hAnsi="宋体" w:eastAsia="宋体" w:cs="宋体"/>
          <w:sz w:val="24"/>
          <w:szCs w:val="24"/>
          <w:lang w:val="zh-CN"/>
        </w:rPr>
        <w:t>）集成接口。</w:t>
      </w:r>
    </w:p>
    <w:p>
      <w:pPr>
        <w:tabs>
          <w:tab w:val="left" w:pos="72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中标人必须提供项目所建系统与采购人财务管理系统的数据（实现如资产与财务软件实时</w:t>
      </w:r>
      <w:r>
        <w:rPr>
          <w:rFonts w:hint="eastAsia" w:ascii="宋体" w:hAnsi="宋体" w:eastAsia="宋体" w:cs="宋体"/>
          <w:color w:val="auto"/>
          <w:sz w:val="24"/>
          <w:szCs w:val="24"/>
          <w:lang w:val="zh-CN"/>
        </w:rPr>
        <w:t>数据交互、</w:t>
      </w:r>
      <w:r>
        <w:rPr>
          <w:rFonts w:hint="eastAsia" w:ascii="宋体" w:hAnsi="宋体" w:eastAsia="宋体" w:cs="宋体"/>
          <w:sz w:val="24"/>
          <w:szCs w:val="24"/>
          <w:lang w:val="zh-CN"/>
        </w:rPr>
        <w:t>对账等功能）集成接口。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（5）提供系统集成与安装；为用户已有的数据整理入库，达到可使用状态。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（6）按照各上级管理部门所规定的数据结构和文件格式对系统相关功能、参数进行调整。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（7）★根据财政部新政府会计管理制度要求，2019年1月1日全面开展固定资产折旧工作，要求中标人于</w:t>
      </w:r>
      <w:r>
        <w:rPr>
          <w:rFonts w:hint="eastAsia" w:ascii="宋体" w:hAnsi="宋体" w:eastAsia="宋体" w:cs="宋体"/>
          <w:sz w:val="24"/>
          <w:szCs w:val="24"/>
          <w:u w:val="single"/>
        </w:rPr>
        <w:t>合同签订后</w:t>
      </w:r>
      <w:r>
        <w:rPr>
          <w:rFonts w:ascii="宋体" w:hAnsi="宋体" w:eastAsia="宋体" w:cs="宋体"/>
          <w:sz w:val="24"/>
          <w:szCs w:val="24"/>
        </w:rPr>
        <w:t>2</w:t>
      </w:r>
      <w:r>
        <w:rPr>
          <w:rFonts w:hint="eastAsia" w:ascii="宋体" w:hAnsi="宋体" w:eastAsia="宋体" w:cs="宋体"/>
          <w:sz w:val="24"/>
          <w:szCs w:val="24"/>
        </w:rPr>
        <w:t>0个工作日内完成数据清理及迁移工作，要求准确率100%，以原有数据明细及统计表为依据。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（8）开发语言：系统开发语言必须保证产品先进性、安全性。</w:t>
      </w:r>
    </w:p>
    <w:p>
      <w:pPr>
        <w:pStyle w:val="31"/>
        <w:ind w:firstLine="482"/>
        <w:rPr>
          <w:rFonts w:ascii="宋体" w:hAnsi="宋体" w:cs="宋体"/>
          <w:b/>
          <w:bCs/>
        </w:rPr>
      </w:pPr>
      <w:r>
        <w:rPr>
          <w:rFonts w:hint="eastAsia" w:ascii="宋体" w:hAnsi="宋体" w:cs="宋体"/>
          <w:b/>
          <w:bCs/>
        </w:rPr>
        <w:t>2.项目整体目标</w:t>
      </w:r>
    </w:p>
    <w:p>
      <w:pPr>
        <w:pStyle w:val="32"/>
        <w:spacing w:before="0" w:beforeAutospacing="0" w:after="0" w:afterAutospacing="0"/>
        <w:rPr>
          <w:rFonts w:cs="宋体"/>
          <w:color w:val="auto"/>
          <w:lang w:val="zh-CN"/>
        </w:rPr>
      </w:pPr>
      <w:r>
        <w:rPr>
          <w:rFonts w:hint="eastAsia" w:cs="宋体"/>
          <w:color w:val="auto"/>
          <w:lang w:val="zh-CN"/>
        </w:rPr>
        <w:t>系统升级改造，要符合国家和学校制定的相关政策法规度，并严格按照学校资产配置、使用、处置和监管的各项规定进行。升级后的新平台要满足如下要求：</w:t>
      </w:r>
    </w:p>
    <w:p>
      <w:pPr>
        <w:pStyle w:val="32"/>
        <w:spacing w:before="0" w:beforeAutospacing="0" w:after="0" w:afterAutospacing="0"/>
        <w:rPr>
          <w:rFonts w:cs="宋体"/>
          <w:color w:val="auto"/>
          <w:lang w:val="zh-CN"/>
        </w:rPr>
      </w:pPr>
      <w:r>
        <w:rPr>
          <w:rFonts w:hint="eastAsia" w:cs="宋体"/>
          <w:color w:val="auto"/>
          <w:lang w:val="zh-CN"/>
        </w:rPr>
        <w:t>（1）★为确保数据保密性与权限合理性分配，做到各单独模块能够设置不同的管理权限，做到分层分级管理，实现超级管理员、二级用户、一般用户查询所辖资产情况。新平台要做到各管理模块既能够单独（分布式）登录和配置，单独管理，又能统一身份登录并集中统计分析数据；实现管理员登录页面和普通老师登录页面区别设计和管理。</w:t>
      </w:r>
    </w:p>
    <w:p>
      <w:pPr>
        <w:pStyle w:val="32"/>
        <w:spacing w:before="0" w:beforeAutospacing="0" w:after="0" w:afterAutospacing="0"/>
        <w:rPr>
          <w:rFonts w:cs="宋体"/>
          <w:color w:val="auto"/>
          <w:lang w:val="zh-CN"/>
        </w:rPr>
      </w:pPr>
      <w:r>
        <w:rPr>
          <w:rFonts w:hint="eastAsia" w:cs="宋体"/>
          <w:color w:val="auto"/>
          <w:lang w:val="zh-CN"/>
        </w:rPr>
        <w:t>（2）</w:t>
      </w:r>
      <w:r>
        <w:rPr>
          <w:rFonts w:hint="eastAsia" w:cs="宋体"/>
          <w:color w:val="auto"/>
        </w:rPr>
        <w:t>▲</w:t>
      </w:r>
      <w:r>
        <w:rPr>
          <w:rFonts w:hint="eastAsia" w:cs="宋体"/>
          <w:color w:val="auto"/>
          <w:lang w:val="zh-CN"/>
        </w:rPr>
        <w:t>升级后实现与福建中医药大学数字化校园数据中心、今日校园A</w:t>
      </w:r>
      <w:r>
        <w:rPr>
          <w:rFonts w:cs="宋体"/>
          <w:color w:val="auto"/>
          <w:lang w:val="zh-CN"/>
        </w:rPr>
        <w:t>PP</w:t>
      </w:r>
      <w:r>
        <w:rPr>
          <w:rFonts w:hint="eastAsia" w:cs="宋体"/>
          <w:color w:val="auto"/>
          <w:lang w:val="zh-CN"/>
        </w:rPr>
        <w:t>以及财务系统进行对接（包括但不限于统一身份认证跳转、数据对接、比对、提取、数据统计分析上报等）。</w:t>
      </w:r>
    </w:p>
    <w:p>
      <w:pPr>
        <w:pStyle w:val="32"/>
        <w:spacing w:before="0" w:beforeAutospacing="0" w:after="0" w:afterAutospacing="0"/>
        <w:rPr>
          <w:rFonts w:cs="宋体"/>
          <w:color w:val="auto"/>
          <w:lang w:val="zh-CN"/>
        </w:rPr>
      </w:pPr>
      <w:r>
        <w:rPr>
          <w:rFonts w:hint="eastAsia" w:cs="宋体"/>
          <w:color w:val="auto"/>
          <w:lang w:val="zh-CN"/>
        </w:rPr>
        <w:t>（3）提供全面的系统安全策略，包括系统完善的用户及权限管理、多种数据备份策略以保证数据的安全、用户身份认证策略以防非法用户入侵等。</w:t>
      </w:r>
    </w:p>
    <w:p>
      <w:pPr>
        <w:pStyle w:val="32"/>
        <w:spacing w:before="0" w:beforeAutospacing="0" w:after="0" w:afterAutospacing="0"/>
        <w:rPr>
          <w:rFonts w:cs="宋体"/>
          <w:color w:val="auto"/>
          <w:lang w:val="zh-CN"/>
        </w:rPr>
      </w:pPr>
      <w:r>
        <w:rPr>
          <w:rFonts w:hint="eastAsia" w:cs="宋体"/>
          <w:color w:val="auto"/>
          <w:lang w:val="zh-CN"/>
        </w:rPr>
        <w:t>（4）要有完备的、涉及资产管理各环节的各类用户及群体的角色定义、授权与操作审核功能。要有详细的数据操作日志及数据跟踪管理能力。</w:t>
      </w:r>
    </w:p>
    <w:p>
      <w:pPr>
        <w:pStyle w:val="32"/>
        <w:spacing w:before="0" w:beforeAutospacing="0" w:after="0" w:afterAutospacing="0"/>
        <w:rPr>
          <w:rFonts w:cs="宋体"/>
          <w:color w:val="auto"/>
          <w:lang w:val="zh-CN"/>
        </w:rPr>
      </w:pPr>
      <w:r>
        <w:rPr>
          <w:rFonts w:hint="eastAsia" w:cs="宋体"/>
          <w:color w:val="auto"/>
          <w:lang w:val="zh-CN"/>
        </w:rPr>
        <w:t>（5）提供构建与实施系统的技术方案，包括：对项目的需求理解、项目总体设计、关键技术运用情况分析、项目实施总负责人、技术负责人及售后服务人员等内容。</w:t>
      </w:r>
    </w:p>
    <w:p>
      <w:pPr>
        <w:pStyle w:val="32"/>
        <w:spacing w:before="0" w:beforeAutospacing="0" w:after="0" w:afterAutospacing="0"/>
        <w:rPr>
          <w:rFonts w:cs="宋体"/>
          <w:color w:val="auto"/>
          <w:lang w:val="zh-CN"/>
        </w:rPr>
      </w:pPr>
      <w:r>
        <w:rPr>
          <w:rFonts w:hint="eastAsia" w:cs="宋体"/>
          <w:color w:val="auto"/>
          <w:lang w:val="zh-CN"/>
        </w:rPr>
        <w:t>（6）★实现资产从入账至消亡整个生命周期的全流程化动态监管，保证账物相符。</w:t>
      </w:r>
    </w:p>
    <w:p>
      <w:pPr>
        <w:pStyle w:val="32"/>
        <w:spacing w:before="0" w:beforeAutospacing="0" w:after="0" w:afterAutospacing="0"/>
        <w:rPr>
          <w:rFonts w:cs="宋体"/>
          <w:color w:val="auto"/>
          <w:lang w:val="zh-CN"/>
        </w:rPr>
      </w:pPr>
      <w:r>
        <w:rPr>
          <w:rFonts w:hint="eastAsia" w:cs="宋体"/>
          <w:color w:val="auto"/>
          <w:lang w:val="zh-CN"/>
        </w:rPr>
        <w:t>（7）▲能够利用系统实现各类资产的定期自查、清查（PC/移动端结合）。</w:t>
      </w:r>
    </w:p>
    <w:p>
      <w:pPr>
        <w:pStyle w:val="32"/>
        <w:spacing w:before="0" w:beforeAutospacing="0" w:after="0" w:afterAutospacing="0"/>
        <w:rPr>
          <w:rFonts w:cs="宋体"/>
          <w:color w:val="auto"/>
          <w:lang w:val="zh-CN"/>
        </w:rPr>
      </w:pPr>
      <w:r>
        <w:rPr>
          <w:rFonts w:hint="eastAsia" w:cs="宋体"/>
          <w:color w:val="auto"/>
          <w:lang w:val="zh-CN"/>
        </w:rPr>
        <w:t>（8）★满足上级主管部门（省财政厅、教育厅及机关事务管理局）资产数据及报表上报要求，能灵活导入、导出系统数据。</w:t>
      </w:r>
    </w:p>
    <w:p>
      <w:pPr>
        <w:rPr>
          <w:rFonts w:ascii="宋体" w:hAnsi="宋体" w:eastAsia="宋体" w:cs="宋体"/>
          <w:b/>
          <w:bCs/>
          <w:sz w:val="24"/>
          <w:szCs w:val="24"/>
        </w:rPr>
      </w:pPr>
      <w:r>
        <w:rPr>
          <w:rFonts w:hint="eastAsia" w:ascii="宋体" w:hAnsi="宋体" w:eastAsia="宋体" w:cs="宋体"/>
          <w:b/>
          <w:bCs/>
          <w:sz w:val="24"/>
          <w:szCs w:val="24"/>
        </w:rPr>
        <w:br w:type="page"/>
      </w:r>
    </w:p>
    <w:p>
      <w:pPr>
        <w:pStyle w:val="31"/>
        <w:ind w:firstLine="482"/>
        <w:rPr>
          <w:rFonts w:ascii="宋体" w:hAnsi="宋体" w:cs="宋体"/>
          <w:b/>
          <w:bCs/>
        </w:rPr>
      </w:pPr>
      <w:r>
        <w:rPr>
          <w:rFonts w:hint="eastAsia" w:ascii="宋体" w:hAnsi="宋体" w:cs="宋体"/>
          <w:b/>
          <w:bCs/>
        </w:rPr>
        <w:t>3.技术规格要求</w:t>
      </w:r>
    </w:p>
    <w:p>
      <w:pPr>
        <w:pStyle w:val="31"/>
        <w:ind w:firstLine="482"/>
        <w:rPr>
          <w:rFonts w:ascii="宋体" w:hAnsi="宋体" w:cs="宋体"/>
          <w:b/>
          <w:bCs/>
        </w:rPr>
      </w:pPr>
      <w:r>
        <w:rPr>
          <w:rFonts w:hint="eastAsia" w:ascii="宋体" w:hAnsi="宋体" w:cs="宋体"/>
          <w:b/>
          <w:bCs/>
        </w:rPr>
        <w:t>（1）资产综合信息平台技术规格要求</w:t>
      </w:r>
    </w:p>
    <w:tbl>
      <w:tblPr>
        <w:tblStyle w:val="10"/>
        <w:tblW w:w="9596" w:type="dxa"/>
        <w:jc w:val="center"/>
        <w:tblLayout w:type="fixed"/>
        <w:tblCellMar>
          <w:top w:w="0" w:type="dxa"/>
          <w:left w:w="108" w:type="dxa"/>
          <w:bottom w:w="0" w:type="dxa"/>
          <w:right w:w="108" w:type="dxa"/>
        </w:tblCellMar>
      </w:tblPr>
      <w:tblGrid>
        <w:gridCol w:w="876"/>
        <w:gridCol w:w="1459"/>
        <w:gridCol w:w="7261"/>
      </w:tblGrid>
      <w:tr>
        <w:tblPrEx>
          <w:tblCellMar>
            <w:top w:w="0" w:type="dxa"/>
            <w:left w:w="108" w:type="dxa"/>
            <w:bottom w:w="0" w:type="dxa"/>
            <w:right w:w="108" w:type="dxa"/>
          </w:tblCellMar>
        </w:tblPrEx>
        <w:trPr>
          <w:trHeight w:val="89" w:hRule="atLeast"/>
          <w:jc w:val="center"/>
        </w:trPr>
        <w:tc>
          <w:tcPr>
            <w:tcW w:w="876" w:type="dxa"/>
            <w:tcBorders>
              <w:top w:val="single" w:color="auto" w:sz="4" w:space="0"/>
              <w:left w:val="single" w:color="auto" w:sz="4" w:space="0"/>
              <w:bottom w:val="single" w:color="auto" w:sz="4" w:space="0"/>
              <w:right w:val="single" w:color="auto" w:sz="4" w:space="0"/>
            </w:tcBorders>
            <w:shd w:val="clear" w:color="000000" w:fill="D9D9D9"/>
            <w:vAlign w:val="center"/>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459" w:type="dxa"/>
            <w:tcBorders>
              <w:top w:val="single" w:color="auto" w:sz="4" w:space="0"/>
              <w:left w:val="nil"/>
              <w:bottom w:val="single" w:color="auto" w:sz="4" w:space="0"/>
              <w:right w:val="single" w:color="auto" w:sz="4" w:space="0"/>
            </w:tcBorders>
            <w:shd w:val="clear" w:color="000000" w:fill="D9D9D9"/>
            <w:vAlign w:val="center"/>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功能要求</w:t>
            </w:r>
          </w:p>
        </w:tc>
        <w:tc>
          <w:tcPr>
            <w:tcW w:w="7261" w:type="dxa"/>
            <w:tcBorders>
              <w:top w:val="single" w:color="auto" w:sz="4" w:space="0"/>
              <w:left w:val="nil"/>
              <w:bottom w:val="single" w:color="auto" w:sz="4" w:space="0"/>
              <w:right w:val="single" w:color="auto" w:sz="4" w:space="0"/>
            </w:tcBorders>
            <w:shd w:val="clear" w:color="000000" w:fill="D9D9D9"/>
            <w:vAlign w:val="center"/>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技术参数要求</w:t>
            </w:r>
          </w:p>
        </w:tc>
      </w:tr>
      <w:tr>
        <w:tblPrEx>
          <w:tblCellMar>
            <w:top w:w="0" w:type="dxa"/>
            <w:left w:w="108" w:type="dxa"/>
            <w:bottom w:w="0" w:type="dxa"/>
            <w:right w:w="108" w:type="dxa"/>
          </w:tblCellMar>
        </w:tblPrEx>
        <w:trPr>
          <w:trHeight w:val="134" w:hRule="atLeast"/>
          <w:jc w:val="center"/>
        </w:trPr>
        <w:tc>
          <w:tcPr>
            <w:tcW w:w="9596" w:type="dxa"/>
            <w:gridSpan w:val="3"/>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分项名称（或功能模块）：</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w:t>
            </w:r>
          </w:p>
        </w:tc>
        <w:tc>
          <w:tcPr>
            <w:tcW w:w="14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ascii="宋体" w:hAnsi="宋体" w:eastAsia="宋体" w:cs="宋体"/>
                <w:bCs/>
                <w:sz w:val="24"/>
                <w:szCs w:val="24"/>
              </w:rPr>
            </w:pPr>
            <w:r>
              <w:rPr>
                <w:rFonts w:hint="eastAsia" w:ascii="宋体" w:hAnsi="宋体" w:eastAsia="宋体" w:cs="宋体"/>
                <w:sz w:val="24"/>
                <w:szCs w:val="24"/>
                <w:lang w:val="zh-CN"/>
              </w:rPr>
              <w:t>▲</w:t>
            </w:r>
            <w:r>
              <w:rPr>
                <w:rFonts w:hint="eastAsia" w:ascii="宋体" w:hAnsi="宋体" w:eastAsia="宋体" w:cs="宋体"/>
                <w:bCs/>
                <w:sz w:val="24"/>
                <w:szCs w:val="24"/>
              </w:rPr>
              <w:t>系统架构</w:t>
            </w:r>
          </w:p>
        </w:tc>
        <w:tc>
          <w:tcPr>
            <w:tcW w:w="726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420"/>
              <w:rPr>
                <w:rFonts w:ascii="宋体" w:hAnsi="宋体" w:eastAsia="宋体" w:cs="宋体"/>
                <w:sz w:val="24"/>
                <w:szCs w:val="24"/>
              </w:rPr>
            </w:pPr>
            <w:r>
              <w:rPr>
                <w:rFonts w:hint="eastAsia" w:ascii="宋体" w:hAnsi="宋体" w:eastAsia="宋体" w:cs="宋体"/>
                <w:sz w:val="24"/>
                <w:szCs w:val="24"/>
                <w:lang w:val="zh-CN"/>
              </w:rPr>
              <w:t>系统采用B/S架构搭建，用户数无限制，开发语言须保证产品的安全性，移易植，支持跨平台部署，具有良好的可扩展性、易维护性。能实现通过浏览器进行各项系统业务处理；同时提供C/S架构方式，为具有相应权限的管理部门提供利用客户端程序在线下载、离线备份、处理数据的方案。系统能通过校园网，让全校所有的资产管理部门和资产使用部门、所有的资产管理人员和使用人员利用一套软件参与到固定资产管理中来，系统对全部管理环节进行有效管理和控制。</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首页工作提醒及账目显示</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用户登录后首页显示功能菜单导航、个人名下资产账目、待办事宜、进度跟踪、个人业务处理汇总等，实现对通讯录、资产编号、验收单编号、变动单号、处置单号进行快速搜索。（首页界面直观显示操作流程及待办事项）。</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3</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系统设置</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参数设置：用于维护学校组织机构代码、教育部统一学校代码等信息；设置验收单、固定资产卡片格式、编号区间，业务图片说明、业务说明设置、常用功能设置等。</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条码设置：可自定义条码标签大小、位置、字段等，支持生成一维码、二维码。</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验收单必填项设置：用户可自定义验收单必填项。</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资产清查 、自查设置：维护资产清查、自查周期管理。</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资产折旧设置：设置是否启用资产折旧、选择采用资产16大类、6大类资产类别折旧设置。</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资产使用年限设置：设置各类资产的使用年限。</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权限管理：允许批量或单独给用户定义其操作权限和管理权限。管理权限包括部门管理权限和资产类别管理权限等。可针对所有系统用户生成操作权限与审核权限一览汇总表。</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数据管理：系统数据初始化、数据备份和恢复(多种常用格式)，用于保证数据安全。</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系统工程设置：登录信息设置、APP下载设置、性能监控.</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安全管理：用户修改登陆密码，系统管理员可修改所有访问系统用户密码。</w:t>
            </w:r>
          </w:p>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操作日志管理：记录所有用户的系统操作及操作时间，用于保证系统安全。</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4</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▲角色管理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可后台设置不同角色、用户的不同权限。允许批量或单独给用户定义其操作权限和管理权限。管理权限包括个人管理权限、部门管理权限和资产类别管理权限等。</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5</w:t>
            </w:r>
          </w:p>
        </w:tc>
        <w:tc>
          <w:tcPr>
            <w:tcW w:w="1459"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ascii="宋体" w:hAnsi="宋体" w:eastAsia="宋体" w:cs="宋体"/>
                <w:bCs/>
                <w:sz w:val="24"/>
                <w:szCs w:val="24"/>
              </w:rPr>
            </w:pPr>
            <w:r>
              <w:rPr>
                <w:rFonts w:hint="eastAsia" w:ascii="宋体" w:hAnsi="宋体" w:eastAsia="宋体" w:cs="宋体"/>
                <w:sz w:val="24"/>
                <w:szCs w:val="24"/>
                <w:lang w:val="zh-CN"/>
              </w:rPr>
              <w:t>▲</w:t>
            </w:r>
            <w:r>
              <w:rPr>
                <w:rFonts w:hint="eastAsia" w:ascii="宋体" w:hAnsi="宋体" w:eastAsia="宋体" w:cs="宋体"/>
                <w:bCs/>
                <w:sz w:val="24"/>
                <w:szCs w:val="24"/>
              </w:rPr>
              <w:t>全资产类别管理</w:t>
            </w:r>
          </w:p>
        </w:tc>
        <w:tc>
          <w:tcPr>
            <w:tcW w:w="726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420"/>
              <w:rPr>
                <w:rFonts w:ascii="宋体" w:hAnsi="宋体" w:eastAsia="宋体" w:cs="宋体"/>
                <w:sz w:val="24"/>
                <w:szCs w:val="24"/>
              </w:rPr>
            </w:pPr>
            <w:r>
              <w:rPr>
                <w:rFonts w:hint="eastAsia" w:ascii="宋体" w:hAnsi="宋体" w:eastAsia="宋体" w:cs="宋体"/>
                <w:sz w:val="24"/>
                <w:szCs w:val="24"/>
              </w:rPr>
              <w:t>系统必须具备教育部规定16大类（如设备、家具、房屋、土地、图书、车辆等）、财政部规定6大类及无形资产全类别资产管理功能。</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6</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系统配置及维护</w:t>
            </w:r>
          </w:p>
        </w:tc>
        <w:tc>
          <w:tcPr>
            <w:tcW w:w="7261" w:type="dxa"/>
            <w:tcBorders>
              <w:top w:val="single" w:color="auto" w:sz="4" w:space="0"/>
              <w:left w:val="single" w:color="auto" w:sz="4" w:space="0"/>
              <w:bottom w:val="single" w:color="auto" w:sz="4" w:space="0"/>
              <w:right w:val="single" w:color="auto" w:sz="4" w:space="0"/>
            </w:tcBorders>
          </w:tcPr>
          <w:p>
            <w:pPr>
              <w:pStyle w:val="17"/>
              <w:widowControl/>
              <w:spacing w:line="240" w:lineRule="exact"/>
              <w:ind w:firstLineChars="175"/>
              <w:jc w:val="left"/>
              <w:rPr>
                <w:rFonts w:ascii="宋体" w:hAnsi="宋体" w:cs="宋体"/>
                <w:kern w:val="0"/>
                <w:sz w:val="24"/>
              </w:rPr>
            </w:pPr>
            <w:r>
              <w:rPr>
                <w:rFonts w:hint="eastAsia" w:ascii="宋体" w:hAnsi="宋体" w:cs="宋体"/>
                <w:kern w:val="0"/>
                <w:sz w:val="24"/>
              </w:rPr>
              <w:t>系统应提供全量业务数据的逻辑查错、纠正功能。</w:t>
            </w:r>
          </w:p>
          <w:p>
            <w:pPr>
              <w:pStyle w:val="17"/>
              <w:widowControl/>
              <w:numPr>
                <w:ilvl w:val="0"/>
                <w:numId w:val="3"/>
              </w:numPr>
              <w:spacing w:line="240" w:lineRule="exact"/>
              <w:ind w:firstLineChars="0"/>
              <w:jc w:val="left"/>
              <w:rPr>
                <w:rFonts w:ascii="宋体" w:hAnsi="宋体" w:cs="宋体"/>
                <w:kern w:val="0"/>
                <w:sz w:val="24"/>
              </w:rPr>
            </w:pPr>
            <w:r>
              <w:rPr>
                <w:rFonts w:hint="eastAsia" w:ascii="宋体" w:hAnsi="宋体" w:cs="宋体"/>
                <w:kern w:val="0"/>
                <w:sz w:val="24"/>
              </w:rPr>
              <w:t>系统管理员可自由设定报表打印格式。包括资产配置申请、处置申请、资产卡片样式、资产变动申请、资产增加单、资产变动单、资产处置单以及各类查询统计报表的打印格式能进行个性设置。灵活设置打印的格式；</w:t>
            </w:r>
          </w:p>
          <w:p>
            <w:pPr>
              <w:pStyle w:val="17"/>
              <w:widowControl/>
              <w:numPr>
                <w:ilvl w:val="0"/>
                <w:numId w:val="3"/>
              </w:numPr>
              <w:spacing w:line="240" w:lineRule="exact"/>
              <w:ind w:firstLineChars="0"/>
              <w:jc w:val="left"/>
              <w:rPr>
                <w:rFonts w:ascii="宋体" w:hAnsi="宋体" w:cs="宋体"/>
                <w:kern w:val="0"/>
                <w:sz w:val="24"/>
              </w:rPr>
            </w:pPr>
            <w:r>
              <w:rPr>
                <w:rFonts w:hint="eastAsia" w:ascii="宋体" w:hAnsi="宋体" w:cs="宋体"/>
                <w:kern w:val="0"/>
                <w:sz w:val="24"/>
              </w:rPr>
              <w:t>可选择二维码或条形码两种方式打印资产标签。</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7</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用户信息管理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各用户应可在登录后，修改个人帐户基本信息，查阅个人名下资产明细，查看本系统内所有与本人相关的业务的流程进度，提供用户消息提醒功能。</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8</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▲资产建账登记</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能够管理教育部16大类、财政部6大类及无形资产所有类别的资产。提供智能的资产分类查询，得到对应的资产分类号，并可自动转换为对应财政分类。</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用户可登记自己名下资产，也可代办他人名下资产。代办情况下，需增加领用人审核节点，领用人确认后方可办理下一步审核；</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用户登记资产的表单界面，各字段应有向导性文字提示。向导性文字可自定义设置；</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自定义资产登记字段。资产登记字段可根据业务管理需要，按不同类别资产设定不同的登记项；</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可自定义设置验收单打印模板。报增单的单据号、仪器编号以及条形码规范应继承原系统的编号规则和规范，且报增单应提供单据号的条形码，用于辅助完成单据的查找以及财务部门的对账、审核功能；</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单台件管理功能（设备、无形资产等类别）：在资产管理的生命周期（从资产入账至报废销账）中，单台件资产入账后有且只有唯一资产编号。单台件账目之间支持建立“主账”与“附件”的逻辑关系，附件应硬性跟随主账的变动关系，附件的变动不影响主账；“主账”与“附件”要求支持同时录入；</w:t>
            </w:r>
          </w:p>
          <w:p>
            <w:pPr>
              <w:pStyle w:val="17"/>
              <w:widowControl/>
              <w:numPr>
                <w:ilvl w:val="0"/>
                <w:numId w:val="4"/>
              </w:numPr>
              <w:spacing w:line="240" w:lineRule="exact"/>
              <w:ind w:firstLineChars="0"/>
              <w:rPr>
                <w:rFonts w:ascii="宋体" w:hAnsi="宋体" w:cs="宋体"/>
                <w:kern w:val="0"/>
                <w:sz w:val="24"/>
              </w:rPr>
            </w:pPr>
            <w:r>
              <w:rPr>
                <w:rFonts w:hint="eastAsia" w:ascii="宋体" w:hAnsi="宋体" w:cs="宋体"/>
                <w:kern w:val="0"/>
                <w:sz w:val="24"/>
              </w:rPr>
              <w:t>多数量管理功能（家具、图书等类别）：批量购入的资产可实现批量管理。涉及拆分、部分调拨、部分报废等操作时，系统将以生成新的管理编号、原资产价值和数量减值等操作来实现。实现灵活拆分管理。</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9</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资产审核</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多级管理多级审核：单位资产管理员审核、国资处审核和财务部门审核，完成固定资产登记手续；可根据学校要求自定义审核流程</w:t>
            </w:r>
          </w:p>
          <w:p>
            <w:pPr>
              <w:pStyle w:val="8"/>
              <w:numPr>
                <w:ilvl w:val="0"/>
                <w:numId w:val="5"/>
              </w:numPr>
              <w:autoSpaceDN w:val="0"/>
              <w:spacing w:before="0" w:beforeAutospacing="0" w:after="0" w:afterAutospacing="0" w:line="240" w:lineRule="exact"/>
              <w:textAlignment w:val="center"/>
            </w:pPr>
            <w:r>
              <w:rPr>
                <w:rFonts w:hint="eastAsia"/>
              </w:rPr>
              <w:t>系统管理员可以自定义业务流程，根据设定的条件对不同的业务情况增加或减少审核节点；</w:t>
            </w:r>
          </w:p>
          <w:p>
            <w:pPr>
              <w:pStyle w:val="8"/>
              <w:numPr>
                <w:ilvl w:val="0"/>
                <w:numId w:val="5"/>
              </w:numPr>
              <w:autoSpaceDN w:val="0"/>
              <w:spacing w:before="0" w:beforeAutospacing="0" w:after="0" w:afterAutospacing="0" w:line="240" w:lineRule="exact"/>
              <w:textAlignment w:val="center"/>
            </w:pPr>
            <w:r>
              <w:rPr>
                <w:rFonts w:hint="eastAsia"/>
              </w:rPr>
              <w:t>具有审核权限的用户，可以修改未审资产登记的信息；</w:t>
            </w:r>
          </w:p>
          <w:p>
            <w:pPr>
              <w:pStyle w:val="8"/>
              <w:numPr>
                <w:ilvl w:val="0"/>
                <w:numId w:val="5"/>
              </w:numPr>
              <w:autoSpaceDN w:val="0"/>
              <w:spacing w:before="0" w:beforeAutospacing="0" w:after="0" w:afterAutospacing="0" w:line="240" w:lineRule="exact"/>
              <w:textAlignment w:val="center"/>
            </w:pPr>
            <w:r>
              <w:rPr>
                <w:rFonts w:hint="eastAsia"/>
              </w:rPr>
              <w:t>审核通过后入库的数据，在财务审核未通过前，可由最后一级审核人撤销。</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10</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▲资产变动管理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使用部门对资产在使用过程中一些主要属性的变化进行管理，如现状、使用单位、使用人、使用方向、存放地点、单价等；支持单位内以及单位间的调拨；支持资产变动有痕、无痕管理。</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资产信息进行变动，需区分权限。不同角色权限的用户下有权限变动的字段不同；</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系统要对变动调整的资产基础信息，状态及变动日期、变动原因、变动申请人、变动审核人进行登记备案。供用户随时调取或打印；</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资产变动模块应包括增值/减值、调拨、处置三大部分。调拨包括如下：</w:t>
            </w:r>
          </w:p>
          <w:p>
            <w:pPr>
              <w:pStyle w:val="17"/>
              <w:widowControl/>
              <w:numPr>
                <w:ilvl w:val="2"/>
                <w:numId w:val="6"/>
              </w:numPr>
              <w:spacing w:line="240" w:lineRule="exact"/>
              <w:ind w:firstLineChars="0"/>
              <w:jc w:val="left"/>
              <w:rPr>
                <w:rFonts w:ascii="宋体" w:hAnsi="宋体" w:cs="宋体"/>
                <w:kern w:val="0"/>
                <w:sz w:val="24"/>
              </w:rPr>
            </w:pPr>
            <w:r>
              <w:rPr>
                <w:rFonts w:hint="eastAsia" w:ascii="宋体" w:hAnsi="宋体" w:cs="宋体"/>
                <w:kern w:val="0"/>
                <w:sz w:val="24"/>
              </w:rPr>
              <w:t>二级单位间相互调拨：调拨后相应调整资产的新使用人和存放地点信息。</w:t>
            </w:r>
          </w:p>
          <w:p>
            <w:pPr>
              <w:pStyle w:val="17"/>
              <w:widowControl/>
              <w:numPr>
                <w:ilvl w:val="2"/>
                <w:numId w:val="6"/>
              </w:numPr>
              <w:spacing w:line="240" w:lineRule="exact"/>
              <w:ind w:firstLineChars="0"/>
              <w:jc w:val="left"/>
              <w:rPr>
                <w:rFonts w:ascii="宋体" w:hAnsi="宋体" w:cs="宋体"/>
                <w:kern w:val="0"/>
                <w:sz w:val="24"/>
              </w:rPr>
            </w:pPr>
            <w:r>
              <w:rPr>
                <w:rFonts w:hint="eastAsia" w:ascii="宋体" w:hAnsi="宋体" w:cs="宋体"/>
                <w:kern w:val="0"/>
                <w:sz w:val="24"/>
              </w:rPr>
              <w:t>二级单位内调拨：在本单位内调拨，可由二级管理员进行审核通过。</w:t>
            </w:r>
          </w:p>
          <w:p>
            <w:pPr>
              <w:pStyle w:val="17"/>
              <w:widowControl/>
              <w:numPr>
                <w:ilvl w:val="2"/>
                <w:numId w:val="6"/>
              </w:numPr>
              <w:spacing w:line="240" w:lineRule="exact"/>
              <w:ind w:firstLineChars="0"/>
              <w:jc w:val="left"/>
              <w:rPr>
                <w:rFonts w:ascii="宋体" w:hAnsi="宋体" w:cs="宋体"/>
                <w:kern w:val="0"/>
                <w:sz w:val="24"/>
              </w:rPr>
            </w:pPr>
            <w:r>
              <w:rPr>
                <w:rFonts w:hint="eastAsia" w:ascii="宋体" w:hAnsi="宋体" w:cs="宋体"/>
                <w:kern w:val="0"/>
                <w:sz w:val="24"/>
              </w:rPr>
              <w:t>领用人调整：针对使用部门不变，同部门内的使用人变更交接。</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增值/减值包括对资产的增值或减值提交变动申请。处置包括校外调拨、报失、报废报损、注销退库。其中涉及价值变化的变动（增减值变动、处置）必须增加财务审核节点；</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变动审核功能：为保证信息准确性和管理流程的完整性，系统应创建二级审核，由变动部门负责人或二级管理用户进行初审，初审后交由校资产主管部门（一级管理员）进行复审；</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完善销账流程：对需要销账的资产，应由使用人或使用管理部门管理员对资产的销账需求进行提交销账申请，提交后打印销账申请单（相关部门人员签字确认意见，履行纸质销账手续），二级管理员或部门领导对变动信息初审确认，初审后由校主资产管部门负责人进行复审（复审通过所提交资产在学校资产账直接减账）；</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改造处置申请：校外调拨、报失、报废报损、注销退库。增加自定义拆分功能，能够拆分出部分资产，或展开成单台件管理。改造单条部分报废，单条部分校外调拨，单条部分报失，单条部分退库；</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改造处置审核功能：为保证信息准确性和管理流程的完整性，系统应创建二级审核，由处置申请部门负责人或二级管理用户进行处置初审，初审后交由校资产主管部门（一级管理员）进行处置复审；</w:t>
            </w:r>
          </w:p>
          <w:p>
            <w:pPr>
              <w:pStyle w:val="17"/>
              <w:widowControl/>
              <w:numPr>
                <w:ilvl w:val="0"/>
                <w:numId w:val="6"/>
              </w:numPr>
              <w:spacing w:line="240" w:lineRule="exact"/>
              <w:ind w:firstLineChars="0"/>
              <w:rPr>
                <w:rFonts w:ascii="宋体" w:hAnsi="宋体" w:cs="宋体"/>
                <w:kern w:val="0"/>
                <w:sz w:val="24"/>
              </w:rPr>
            </w:pPr>
            <w:r>
              <w:rPr>
                <w:rFonts w:hint="eastAsia" w:ascii="宋体" w:hAnsi="宋体" w:cs="宋体"/>
                <w:kern w:val="0"/>
                <w:sz w:val="24"/>
              </w:rPr>
              <w:t>报废增加待批审核功能：实现用户报废初审的资产，校级管理员提交待批审核（并按照批次进行上报上级主管部门审批），提交审批的资产现状改为待审批报废状态，至审批通过后再按照批次将部分已经通过的资产报废复审减账。</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11</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▲资产调剂管理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该模块可以动态网站形式向全校老师公布调剂（闲置、待报废）资产信息，该平台数据实现与固定资产管理系统共享。操作流程应如下：</w:t>
            </w:r>
          </w:p>
          <w:p>
            <w:pPr>
              <w:pStyle w:val="17"/>
              <w:widowControl/>
              <w:numPr>
                <w:ilvl w:val="0"/>
                <w:numId w:val="7"/>
              </w:numPr>
              <w:spacing w:line="240" w:lineRule="exact"/>
              <w:ind w:firstLineChars="0"/>
              <w:jc w:val="left"/>
              <w:rPr>
                <w:rFonts w:ascii="宋体" w:hAnsi="宋体" w:cs="宋体"/>
                <w:kern w:val="0"/>
                <w:sz w:val="24"/>
              </w:rPr>
            </w:pPr>
            <w:r>
              <w:rPr>
                <w:rFonts w:hint="eastAsia" w:ascii="宋体" w:hAnsi="宋体" w:cs="宋体"/>
                <w:kern w:val="0"/>
                <w:sz w:val="24"/>
              </w:rPr>
              <w:t>使用部门通过固定资产管理系统提交报废、闲置资产申请表，由资产管理部门审核，进入资产调剂平台，供全校老师浏览查询；</w:t>
            </w:r>
          </w:p>
          <w:p>
            <w:pPr>
              <w:pStyle w:val="17"/>
              <w:widowControl/>
              <w:numPr>
                <w:ilvl w:val="0"/>
                <w:numId w:val="7"/>
              </w:numPr>
              <w:spacing w:line="240" w:lineRule="exact"/>
              <w:ind w:firstLineChars="0"/>
              <w:jc w:val="left"/>
              <w:rPr>
                <w:rFonts w:ascii="宋体" w:hAnsi="宋体" w:cs="宋体"/>
                <w:kern w:val="0"/>
                <w:sz w:val="24"/>
              </w:rPr>
            </w:pPr>
            <w:r>
              <w:rPr>
                <w:rFonts w:hint="eastAsia" w:ascii="宋体" w:hAnsi="宋体" w:cs="宋体"/>
                <w:kern w:val="0"/>
                <w:sz w:val="24"/>
              </w:rPr>
              <w:t>老师看中某台调剂资产时，必须先输入注册信息，方可提交调剂申请表；</w:t>
            </w:r>
          </w:p>
          <w:p>
            <w:pPr>
              <w:pStyle w:val="17"/>
              <w:widowControl/>
              <w:numPr>
                <w:ilvl w:val="0"/>
                <w:numId w:val="7"/>
              </w:numPr>
              <w:spacing w:line="240" w:lineRule="exact"/>
              <w:ind w:firstLineChars="0"/>
              <w:jc w:val="left"/>
              <w:rPr>
                <w:rFonts w:ascii="宋体" w:hAnsi="宋体" w:cs="宋体"/>
                <w:kern w:val="0"/>
                <w:sz w:val="24"/>
              </w:rPr>
            </w:pPr>
            <w:r>
              <w:rPr>
                <w:rFonts w:hint="eastAsia" w:ascii="宋体" w:hAnsi="宋体" w:cs="宋体"/>
                <w:kern w:val="0"/>
                <w:sz w:val="24"/>
              </w:rPr>
              <w:t>资产调剂平台中的资产设有预警功能，即资产在调剂平台中公布数月后，仍无调剂，若满足报废条件，则自动进入报废申请阶段。</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12</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▲资产处置管理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对于要报废、报损、出售、无偿调拨的固定资产，填写并打印资产处置报告单，提交资产管理部门审核、财务管理部门审核记账，完成资产处置。为保证所有使用人能更清晰的办理业务，要求“资产处置”和“其他资产变动”分列菜单单独管理。</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13</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资产清查</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利用条码采集设备（如扫描枪等），对已粘贴条码标签的资产进行快速清查，自动生成盘盈、盘亏表等。可以对特定单位、特定使用人、特定地点、特定类别的资产进行清查；系统支持自查、普查等多种方式。</w:t>
            </w:r>
          </w:p>
          <w:p>
            <w:pPr>
              <w:pStyle w:val="17"/>
              <w:widowControl/>
              <w:numPr>
                <w:ilvl w:val="0"/>
                <w:numId w:val="8"/>
              </w:numPr>
              <w:spacing w:line="240" w:lineRule="exact"/>
              <w:ind w:firstLineChars="0"/>
              <w:jc w:val="left"/>
              <w:rPr>
                <w:rFonts w:ascii="宋体" w:hAnsi="宋体" w:cs="宋体"/>
                <w:kern w:val="0"/>
                <w:sz w:val="24"/>
              </w:rPr>
            </w:pPr>
            <w:r>
              <w:rPr>
                <w:rFonts w:hint="eastAsia" w:ascii="宋体" w:hAnsi="宋体" w:cs="宋体"/>
                <w:kern w:val="0"/>
                <w:sz w:val="24"/>
              </w:rPr>
              <w:t>利用条码采集设备（如扫描枪、手机摄像头等），对已粘贴条码标签的资产进行快速清查，自动生成盘盈、盘亏表等。可以对特定单位、特定使用人、特定地点的资产进行清查。系统支持自查、普查等多种清查方式；</w:t>
            </w:r>
          </w:p>
          <w:p>
            <w:pPr>
              <w:pStyle w:val="17"/>
              <w:widowControl/>
              <w:numPr>
                <w:ilvl w:val="0"/>
                <w:numId w:val="8"/>
              </w:numPr>
              <w:spacing w:line="240" w:lineRule="exact"/>
              <w:ind w:firstLineChars="0"/>
              <w:jc w:val="left"/>
              <w:rPr>
                <w:rFonts w:ascii="宋体" w:hAnsi="宋体" w:cs="宋体"/>
                <w:kern w:val="0"/>
                <w:sz w:val="24"/>
              </w:rPr>
            </w:pPr>
            <w:r>
              <w:rPr>
                <w:rFonts w:hint="eastAsia" w:ascii="宋体" w:hAnsi="宋体" w:cs="宋体"/>
                <w:kern w:val="0"/>
                <w:sz w:val="24"/>
              </w:rPr>
              <w:t>依据清查盘点数据，实时给出固定资产清查数据汇总表，并以此为依据，对固定资产的盘盈、盘亏数据进行处理；</w:t>
            </w:r>
          </w:p>
          <w:p>
            <w:pPr>
              <w:pStyle w:val="17"/>
              <w:widowControl/>
              <w:numPr>
                <w:ilvl w:val="0"/>
                <w:numId w:val="8"/>
              </w:numPr>
              <w:spacing w:line="240" w:lineRule="exact"/>
              <w:ind w:firstLineChars="0"/>
              <w:jc w:val="left"/>
              <w:rPr>
                <w:rFonts w:ascii="宋体" w:hAnsi="宋体" w:cs="宋体"/>
                <w:kern w:val="0"/>
                <w:sz w:val="24"/>
              </w:rPr>
            </w:pPr>
            <w:r>
              <w:rPr>
                <w:rFonts w:hint="eastAsia" w:ascii="宋体" w:hAnsi="宋体" w:cs="宋体"/>
                <w:kern w:val="0"/>
                <w:sz w:val="24"/>
              </w:rPr>
              <w:t>依据清查数据，生成目前财政部门要求格式的各类报表；</w:t>
            </w:r>
          </w:p>
          <w:p>
            <w:pPr>
              <w:pStyle w:val="17"/>
              <w:widowControl/>
              <w:numPr>
                <w:ilvl w:val="0"/>
                <w:numId w:val="8"/>
              </w:numPr>
              <w:spacing w:line="240" w:lineRule="exact"/>
              <w:ind w:firstLineChars="0"/>
              <w:jc w:val="left"/>
              <w:rPr>
                <w:rFonts w:ascii="宋体" w:hAnsi="宋体" w:cs="宋体"/>
                <w:kern w:val="0"/>
                <w:sz w:val="24"/>
              </w:rPr>
            </w:pPr>
            <w:r>
              <w:rPr>
                <w:rFonts w:hint="eastAsia" w:ascii="宋体" w:hAnsi="宋体" w:cs="宋体"/>
                <w:kern w:val="0"/>
                <w:sz w:val="24"/>
              </w:rPr>
              <w:t>通过PC端（线上）、线下（移动端）结合的方式对资产进行立体化清查。</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14</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▲数据上报及账表管理</w:t>
            </w:r>
          </w:p>
        </w:tc>
        <w:tc>
          <w:tcPr>
            <w:tcW w:w="7261" w:type="dxa"/>
            <w:tcBorders>
              <w:top w:val="single" w:color="auto" w:sz="4" w:space="0"/>
              <w:left w:val="single" w:color="auto" w:sz="4" w:space="0"/>
              <w:bottom w:val="single" w:color="auto" w:sz="4" w:space="0"/>
              <w:right w:val="single" w:color="auto" w:sz="4" w:space="0"/>
            </w:tcBorders>
          </w:tcPr>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严格按照教育部《关于报送高校实验室和仪器设备统计数据盘及报表的通知》的规定，生成需要上报的有关教学科研仪器设备的数据文件和报表；能导出txt，excel表格生成适合学校业务管理的表格格式并导入相关系统。</w:t>
            </w:r>
          </w:p>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系统与省财政厅的《行政事业资产管理信息系统》能够完全对接（</w:t>
            </w:r>
            <w:r>
              <w:rPr>
                <w:rFonts w:hint="eastAsia" w:ascii="宋体" w:hAnsi="宋体" w:cs="宋体"/>
                <w:sz w:val="24"/>
              </w:rPr>
              <w:t>在省财政厅软件开放对接的前提下</w:t>
            </w:r>
            <w:r>
              <w:rPr>
                <w:rFonts w:hint="eastAsia" w:ascii="宋体" w:hAnsi="宋体" w:cs="宋体"/>
                <w:kern w:val="0"/>
                <w:sz w:val="24"/>
              </w:rPr>
              <w:t>），完成资产的数据上报；</w:t>
            </w:r>
          </w:p>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生成的省教育厅、财政厅报表在系统中提供临时的修改及补录功能；</w:t>
            </w:r>
          </w:p>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系统支持学校以前使用的资产管理系统数据导入与导出；</w:t>
            </w:r>
          </w:p>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系统能够按照上级部门要求数据结构和文件格式，生成需要上报的有关数据，用户可以自己设定数据条件，能够对数据导入、导出、整理、检查、汇总等</w:t>
            </w:r>
          </w:p>
          <w:p>
            <w:pPr>
              <w:pStyle w:val="17"/>
              <w:widowControl/>
              <w:numPr>
                <w:ilvl w:val="0"/>
                <w:numId w:val="9"/>
              </w:numPr>
              <w:spacing w:line="240" w:lineRule="exact"/>
              <w:ind w:firstLineChars="0"/>
              <w:jc w:val="left"/>
              <w:rPr>
                <w:rFonts w:ascii="宋体" w:hAnsi="宋体" w:cs="宋体"/>
                <w:kern w:val="0"/>
                <w:sz w:val="24"/>
              </w:rPr>
            </w:pPr>
            <w:r>
              <w:rPr>
                <w:rFonts w:hint="eastAsia" w:ascii="宋体" w:hAnsi="宋体" w:cs="宋体"/>
                <w:kern w:val="0"/>
                <w:sz w:val="24"/>
              </w:rPr>
              <w:t>同时支持国家教育部16大类、国家财政最新6大类两种方式，并生成相应的</w:t>
            </w:r>
            <w:bookmarkStart w:id="1" w:name="_GoBack"/>
            <w:bookmarkEnd w:id="1"/>
            <w:r>
              <w:rPr>
                <w:rFonts w:hint="eastAsia" w:ascii="宋体" w:hAnsi="宋体" w:cs="宋体"/>
                <w:kern w:val="0"/>
                <w:sz w:val="24"/>
                <w:lang w:eastAsia="zh-CN"/>
              </w:rPr>
              <w:t>财务账</w:t>
            </w:r>
            <w:r>
              <w:rPr>
                <w:rFonts w:hint="eastAsia" w:ascii="宋体" w:hAnsi="宋体" w:cs="宋体"/>
                <w:kern w:val="0"/>
                <w:sz w:val="24"/>
              </w:rPr>
              <w:t>表、统计分析表，如固定资产总账、总分类帐、分户明细账、结存表等。</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15</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资产信息修改及分类号调整</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支持入账后有误资产信息无痕修改。</w:t>
            </w:r>
          </w:p>
          <w:p>
            <w:pPr>
              <w:pStyle w:val="17"/>
              <w:widowControl/>
              <w:numPr>
                <w:ilvl w:val="0"/>
                <w:numId w:val="10"/>
              </w:numPr>
              <w:spacing w:line="240" w:lineRule="exact"/>
              <w:ind w:firstLineChars="0"/>
              <w:jc w:val="left"/>
              <w:rPr>
                <w:rFonts w:ascii="宋体" w:hAnsi="宋体" w:cs="宋体"/>
                <w:kern w:val="0"/>
                <w:sz w:val="24"/>
              </w:rPr>
            </w:pPr>
            <w:r>
              <w:rPr>
                <w:rFonts w:hint="eastAsia" w:ascii="宋体" w:hAnsi="宋体" w:cs="宋体"/>
                <w:kern w:val="0"/>
                <w:sz w:val="24"/>
              </w:rPr>
              <w:t>卡片信息可由校级资产管理员通过特有功能已授权可以让各级用户修改的，如存放地点、图片、备注等；</w:t>
            </w:r>
          </w:p>
          <w:p>
            <w:pPr>
              <w:pStyle w:val="17"/>
              <w:widowControl/>
              <w:numPr>
                <w:ilvl w:val="0"/>
                <w:numId w:val="10"/>
              </w:numPr>
              <w:spacing w:line="240" w:lineRule="exact"/>
              <w:ind w:firstLineChars="0"/>
              <w:jc w:val="left"/>
              <w:rPr>
                <w:rFonts w:ascii="宋体" w:hAnsi="宋体" w:cs="宋体"/>
                <w:kern w:val="0"/>
                <w:sz w:val="24"/>
              </w:rPr>
            </w:pPr>
            <w:r>
              <w:rPr>
                <w:rFonts w:hint="eastAsia" w:ascii="宋体" w:hAnsi="宋体" w:cs="宋体"/>
                <w:kern w:val="0"/>
                <w:sz w:val="24"/>
              </w:rPr>
              <w:t>修改数据功能多样化，以加快修改数据速度。超级用户提供卡片任意字段修改、任意字段浏览修改、任意字段批量修改、单位调整、领用人替换修改等。一般用户提供卡片浏览修改、列表浏览修改、领用人修改、存放地修改、部分字段批量替换等。为各级方便管理员操作，要求系统具备导出EXCEL表进行修改的功能。修改后支持将修改结果导入系统，要求做到不可修改未设置为“可修改”的字段。</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16</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资产附属设备、照片及附属文件管理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支持资产附属设备、照片、附属文件的管理，直观体现资产设备规格参数等；能与高拍仪对接实现文件快速上传功能；为今后的核查提供便利。</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17</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验收单、卡片等单据管理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系统能够打印规范的固定资产验收单、固定资产管理卡片、资产变动报告单、资产处置报告单等。验收单要求一式三联，并支持套打与非套打两种方式。</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18</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条码标签管理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系统支持一维码、二维码等条码技术，可自定义条码标签大小、位置、字段等，并可设计保存多种条码标签打印方案。</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19</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生命周期、时态管理</w:t>
            </w:r>
          </w:p>
        </w:tc>
        <w:tc>
          <w:tcPr>
            <w:tcW w:w="7261" w:type="dxa"/>
            <w:tcBorders>
              <w:top w:val="single" w:color="auto" w:sz="4" w:space="0"/>
              <w:left w:val="single" w:color="auto" w:sz="4" w:space="0"/>
              <w:bottom w:val="single" w:color="auto" w:sz="4" w:space="0"/>
              <w:right w:val="single" w:color="auto" w:sz="4" w:space="0"/>
            </w:tcBorders>
          </w:tcPr>
          <w:p>
            <w:pPr>
              <w:pStyle w:val="17"/>
              <w:widowControl/>
              <w:numPr>
                <w:ilvl w:val="0"/>
                <w:numId w:val="11"/>
              </w:numPr>
              <w:spacing w:line="240" w:lineRule="exact"/>
              <w:ind w:firstLineChars="0"/>
              <w:jc w:val="left"/>
              <w:rPr>
                <w:rFonts w:ascii="宋体" w:hAnsi="宋体" w:cs="宋体"/>
                <w:kern w:val="0"/>
                <w:sz w:val="24"/>
              </w:rPr>
            </w:pPr>
            <w:r>
              <w:rPr>
                <w:rFonts w:hint="eastAsia" w:ascii="宋体" w:hAnsi="宋体" w:cs="宋体"/>
                <w:kern w:val="0"/>
                <w:sz w:val="24"/>
              </w:rPr>
              <w:t>对每一件固定资产从采购验收、日常使用直到处置的整个生命周期进行全过程跟踪管理，客观记录每一项管理活动，实时反映每一件固定资产状态；</w:t>
            </w:r>
          </w:p>
          <w:p>
            <w:pPr>
              <w:pStyle w:val="17"/>
              <w:widowControl/>
              <w:numPr>
                <w:ilvl w:val="0"/>
                <w:numId w:val="11"/>
              </w:numPr>
              <w:spacing w:line="240" w:lineRule="exact"/>
              <w:ind w:firstLineChars="0"/>
              <w:jc w:val="left"/>
              <w:rPr>
                <w:rFonts w:ascii="宋体" w:hAnsi="宋体" w:cs="宋体"/>
                <w:kern w:val="0"/>
                <w:sz w:val="24"/>
              </w:rPr>
            </w:pPr>
            <w:r>
              <w:rPr>
                <w:rFonts w:hint="eastAsia" w:ascii="宋体" w:hAnsi="宋体" w:cs="宋体"/>
                <w:kern w:val="0"/>
                <w:sz w:val="24"/>
              </w:rPr>
              <w:t>支持资产时间回滚查询功能，实现资产的时态化管理。（所有资产的生命周期信息应在资产明细卡片上详细列出。）</w:t>
            </w:r>
          </w:p>
        </w:tc>
      </w:tr>
      <w:tr>
        <w:tblPrEx>
          <w:tblCellMar>
            <w:top w:w="0" w:type="dxa"/>
            <w:left w:w="108" w:type="dxa"/>
            <w:bottom w:w="0" w:type="dxa"/>
            <w:right w:w="108" w:type="dxa"/>
          </w:tblCellMar>
        </w:tblPrEx>
        <w:trPr>
          <w:trHeight w:val="393"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20</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预警管理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对不同类别的资产按照使用年限进行预警提醒管理。</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21</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统计分析</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80" w:firstLineChars="200"/>
              <w:rPr>
                <w:rFonts w:ascii="宋体" w:hAnsi="宋体" w:eastAsia="宋体" w:cs="宋体"/>
                <w:sz w:val="24"/>
                <w:szCs w:val="24"/>
              </w:rPr>
            </w:pPr>
            <w:r>
              <w:rPr>
                <w:rFonts w:hint="eastAsia" w:ascii="宋体" w:hAnsi="宋体" w:eastAsia="宋体" w:cs="宋体"/>
                <w:sz w:val="24"/>
                <w:szCs w:val="24"/>
              </w:rPr>
              <w:t>设定各类统计、分析的条件，进行学校各类所需要的分类分户统计分析，并给出多种方式的图表，直观实用，用于资产管理以及统筹决策等。提供资产方面、使用部门、管理部门、人员情况等多维度查询功能。</w:t>
            </w:r>
          </w:p>
          <w:p>
            <w:pPr>
              <w:pStyle w:val="17"/>
              <w:widowControl/>
              <w:numPr>
                <w:ilvl w:val="0"/>
                <w:numId w:val="12"/>
              </w:numPr>
              <w:spacing w:line="240" w:lineRule="exact"/>
              <w:ind w:firstLineChars="0"/>
              <w:jc w:val="left"/>
              <w:rPr>
                <w:rFonts w:ascii="宋体" w:hAnsi="宋体" w:cs="宋体"/>
                <w:kern w:val="0"/>
                <w:sz w:val="24"/>
              </w:rPr>
            </w:pPr>
            <w:r>
              <w:rPr>
                <w:rFonts w:hint="eastAsia" w:ascii="宋体" w:hAnsi="宋体" w:cs="宋体"/>
                <w:kern w:val="0"/>
                <w:sz w:val="24"/>
              </w:rPr>
              <w:t>按功能分为两类：资产状况财务分析统计和固定资产统计分析图；按图表种类可分为：资产状况财务分析统计表、资产分户分布图、资产分类分布图（16大类、6大类）、资产年代分布图、资产资金来源分布图、资产来源分布图、资产使用方向分布图、资产现状分布图；</w:t>
            </w:r>
          </w:p>
          <w:p>
            <w:pPr>
              <w:pStyle w:val="17"/>
              <w:widowControl/>
              <w:numPr>
                <w:ilvl w:val="0"/>
                <w:numId w:val="12"/>
              </w:numPr>
              <w:spacing w:line="240" w:lineRule="exact"/>
              <w:ind w:firstLineChars="0"/>
              <w:jc w:val="left"/>
              <w:rPr>
                <w:rFonts w:ascii="宋体" w:hAnsi="宋体" w:cs="宋体"/>
                <w:kern w:val="0"/>
                <w:sz w:val="24"/>
              </w:rPr>
            </w:pPr>
            <w:r>
              <w:rPr>
                <w:rFonts w:hint="eastAsia" w:ascii="宋体" w:hAnsi="宋体" w:cs="宋体"/>
                <w:kern w:val="0"/>
                <w:sz w:val="24"/>
              </w:rPr>
              <w:t>输出图形方式分为：波形图、区域图、柱形图、饼形图、立体波形图、立体区域图、立体柱形图、立体饼形图；</w:t>
            </w:r>
          </w:p>
          <w:p>
            <w:pPr>
              <w:pStyle w:val="17"/>
              <w:widowControl/>
              <w:numPr>
                <w:ilvl w:val="0"/>
                <w:numId w:val="12"/>
              </w:numPr>
              <w:spacing w:line="240" w:lineRule="exact"/>
              <w:ind w:firstLineChars="0"/>
              <w:jc w:val="left"/>
              <w:rPr>
                <w:rFonts w:ascii="宋体" w:hAnsi="宋体" w:cs="宋体"/>
                <w:kern w:val="0"/>
                <w:sz w:val="24"/>
              </w:rPr>
            </w:pPr>
            <w:r>
              <w:rPr>
                <w:rFonts w:hint="eastAsia" w:ascii="宋体" w:hAnsi="宋体" w:cs="宋体"/>
                <w:kern w:val="0"/>
                <w:sz w:val="24"/>
              </w:rPr>
              <w:t>统计分析报表：分户查询统计表、固定资产分户增减变动表、固定资产分类增减变动表（16大类、6大类）、资产增减变动情况表、分类分户统计表、年代分户统计表、资金来源分户统计表、使用方向分户统计表、现状分户统计表。</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22</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汇总分析</w:t>
            </w:r>
          </w:p>
        </w:tc>
        <w:tc>
          <w:tcPr>
            <w:tcW w:w="7261" w:type="dxa"/>
            <w:tcBorders>
              <w:top w:val="single" w:color="auto" w:sz="4" w:space="0"/>
              <w:left w:val="single" w:color="auto" w:sz="4" w:space="0"/>
              <w:bottom w:val="single" w:color="auto" w:sz="4" w:space="0"/>
              <w:right w:val="single" w:color="auto" w:sz="4" w:space="0"/>
            </w:tcBorders>
          </w:tcPr>
          <w:p>
            <w:pPr>
              <w:pStyle w:val="17"/>
              <w:widowControl/>
              <w:numPr>
                <w:ilvl w:val="0"/>
                <w:numId w:val="13"/>
              </w:numPr>
              <w:spacing w:line="240" w:lineRule="exact"/>
              <w:ind w:firstLineChars="0"/>
              <w:jc w:val="left"/>
              <w:rPr>
                <w:rFonts w:ascii="宋体" w:hAnsi="宋体" w:cs="宋体"/>
                <w:kern w:val="0"/>
                <w:sz w:val="24"/>
              </w:rPr>
            </w:pPr>
            <w:r>
              <w:rPr>
                <w:rFonts w:hint="eastAsia" w:ascii="宋体" w:hAnsi="宋体" w:cs="宋体"/>
                <w:kern w:val="0"/>
                <w:sz w:val="24"/>
              </w:rPr>
              <w:t>利用系统中的各类数据，根据管理需要，设定各类条件，可以对学校资产进行全面的统计与分析，并生成样式丰富的分析图形和账表，直观实用，用于资产管理以及统筹决策，能及时准确地掌握和分析全校资产现状，科学地预测变化趋势；统计分析表支持DBF格式打印功能；</w:t>
            </w:r>
          </w:p>
          <w:p>
            <w:pPr>
              <w:pStyle w:val="17"/>
              <w:widowControl/>
              <w:numPr>
                <w:ilvl w:val="0"/>
                <w:numId w:val="13"/>
              </w:numPr>
              <w:spacing w:line="240" w:lineRule="exact"/>
              <w:ind w:firstLineChars="0"/>
              <w:jc w:val="left"/>
              <w:rPr>
                <w:rFonts w:ascii="宋体" w:hAnsi="宋体" w:cs="宋体"/>
                <w:kern w:val="0"/>
                <w:sz w:val="24"/>
              </w:rPr>
            </w:pPr>
            <w:r>
              <w:rPr>
                <w:rFonts w:hint="eastAsia" w:ascii="宋体" w:hAnsi="宋体" w:cs="宋体"/>
                <w:kern w:val="0"/>
                <w:sz w:val="24"/>
              </w:rPr>
              <w:t>可按用户要求（按照单位统计、分类统计等）生成报表（固定资产月报、分户增减变动情况等）、图表（柱状图、饼状图等）统计结果。报表应直观实用，用于资产管理以及统筹决策，能及时准确地掌握和分析全校资产现状，科学地预测变化趋势。</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23</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决策支持</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针对资产管理的不同特点，充分归集资产系统的信息，实现对大量详尽真实的历史数据进行综合提炼和分析，及时准确地掌握和分析全校资产现状，科学地预测变化趋势，为教学与科研服务，为学校领导制定发展战略提供有效依据。</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24</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数据管理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支持已有资产数据导入，经检查、整理、完善后正式形成资产档案数据，针对零星数据可逐条录入系统，提供数据服务器备份及导出功能。</w:t>
            </w:r>
          </w:p>
          <w:p>
            <w:pPr>
              <w:spacing w:line="240" w:lineRule="exact"/>
              <w:ind w:firstLine="420"/>
              <w:rPr>
                <w:rFonts w:ascii="宋体" w:hAnsi="宋体" w:eastAsia="宋体" w:cs="宋体"/>
                <w:sz w:val="24"/>
                <w:szCs w:val="24"/>
              </w:rPr>
            </w:pPr>
            <w:r>
              <w:rPr>
                <w:rFonts w:hint="eastAsia" w:ascii="宋体" w:hAnsi="宋体" w:eastAsia="宋体" w:cs="宋体"/>
                <w:sz w:val="24"/>
                <w:szCs w:val="24"/>
              </w:rPr>
              <w:t>基础数据管理：系统的基础数据规范应符合学校数据中心对应的数据规范要求，包括但不限于人员库、采购信息、经费项目、房屋地址信息等数据。并能实现与学校数据中心同步；</w:t>
            </w:r>
          </w:p>
          <w:p>
            <w:pPr>
              <w:spacing w:line="240" w:lineRule="exact"/>
              <w:ind w:firstLine="420"/>
              <w:rPr>
                <w:rFonts w:ascii="宋体" w:hAnsi="宋体" w:eastAsia="宋体" w:cs="宋体"/>
                <w:sz w:val="24"/>
                <w:szCs w:val="24"/>
              </w:rPr>
            </w:pPr>
            <w:r>
              <w:rPr>
                <w:rFonts w:hint="eastAsia" w:ascii="宋体" w:hAnsi="宋体" w:eastAsia="宋体" w:cs="宋体"/>
                <w:sz w:val="24"/>
                <w:szCs w:val="24"/>
              </w:rPr>
              <w:t>资产的日常管理要以教育部16大类分类代码为依据，系统能自动形成6大类分类代码。实现自动转换。</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25</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数据查询</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以简单、直观的方式，查询所需各种信息，生成各类查询表格，可以直接得到日常管理活动中常用的按使用单位、使用人、存放地点、资产类别（16大类、6大类）的查询表。查询结果可以直接导出，并支持自定义综合查询。</w:t>
            </w:r>
          </w:p>
          <w:p>
            <w:pPr>
              <w:pStyle w:val="17"/>
              <w:widowControl/>
              <w:numPr>
                <w:ilvl w:val="0"/>
                <w:numId w:val="14"/>
              </w:numPr>
              <w:spacing w:line="240" w:lineRule="exact"/>
              <w:ind w:firstLineChars="0"/>
              <w:jc w:val="left"/>
              <w:rPr>
                <w:rFonts w:ascii="宋体" w:hAnsi="宋体" w:cs="宋体"/>
                <w:kern w:val="0"/>
                <w:sz w:val="24"/>
              </w:rPr>
            </w:pPr>
            <w:r>
              <w:rPr>
                <w:rFonts w:hint="eastAsia" w:ascii="宋体" w:hAnsi="宋体" w:cs="宋体"/>
                <w:kern w:val="0"/>
                <w:sz w:val="24"/>
              </w:rPr>
              <w:t>改造完善数据查询功能，可实现查询：在账资产信息、变动资产信息。各级用户可随时根据本用户的权限查询管理范围内的资产情况，并能够将查询到的信息 导出excel或打印；</w:t>
            </w:r>
          </w:p>
          <w:p>
            <w:pPr>
              <w:pStyle w:val="17"/>
              <w:widowControl/>
              <w:numPr>
                <w:ilvl w:val="0"/>
                <w:numId w:val="14"/>
              </w:numPr>
              <w:spacing w:line="240" w:lineRule="exact"/>
              <w:ind w:firstLineChars="0"/>
              <w:jc w:val="left"/>
              <w:rPr>
                <w:rFonts w:ascii="宋体" w:hAnsi="宋体" w:cs="宋体"/>
                <w:kern w:val="0"/>
                <w:sz w:val="24"/>
              </w:rPr>
            </w:pPr>
            <w:r>
              <w:rPr>
                <w:rFonts w:hint="eastAsia" w:ascii="宋体" w:hAnsi="宋体" w:cs="宋体"/>
                <w:kern w:val="0"/>
                <w:sz w:val="24"/>
              </w:rPr>
              <w:t>查询方式应创建多种简单常用的查询方式，如：领用单位树形结构查询，入账日期查询，资产分类查询，资产编号查询，领用人查询等快捷查询方式，并拥有用户自行组合的多条件进行查询排序功能。查询显示字段应由校主管部门管理员，自行灵活设置并排序；</w:t>
            </w:r>
          </w:p>
          <w:p>
            <w:pPr>
              <w:pStyle w:val="17"/>
              <w:widowControl/>
              <w:numPr>
                <w:ilvl w:val="0"/>
                <w:numId w:val="14"/>
              </w:numPr>
              <w:spacing w:line="240" w:lineRule="exact"/>
              <w:ind w:firstLineChars="0"/>
              <w:jc w:val="left"/>
              <w:rPr>
                <w:rFonts w:ascii="宋体" w:hAnsi="宋体" w:cs="宋体"/>
                <w:kern w:val="0"/>
                <w:sz w:val="24"/>
              </w:rPr>
            </w:pPr>
            <w:r>
              <w:rPr>
                <w:rFonts w:hint="eastAsia" w:ascii="宋体" w:hAnsi="宋体" w:cs="宋体"/>
                <w:kern w:val="0"/>
                <w:sz w:val="24"/>
              </w:rPr>
              <w:t>改造组合条件查询功能：可设置任意多个组合条件进行随机查询，可对已设置条件中的单个或多个进行删除修改，且不受条件连接顺序影响查询结果。</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26</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帐表管理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同时支持国家教育部16大类、国家财政最新6大类两套分类方式，并生成相应的两套</w:t>
            </w:r>
            <w:r>
              <w:rPr>
                <w:rFonts w:hint="eastAsia" w:ascii="宋体" w:hAnsi="宋体" w:cs="宋体"/>
                <w:sz w:val="24"/>
                <w:szCs w:val="24"/>
                <w:lang w:eastAsia="zh-CN"/>
              </w:rPr>
              <w:t>财务账</w:t>
            </w:r>
            <w:r>
              <w:rPr>
                <w:rFonts w:hint="eastAsia" w:ascii="宋体" w:hAnsi="宋体" w:eastAsia="宋体" w:cs="宋体"/>
                <w:sz w:val="24"/>
                <w:szCs w:val="24"/>
              </w:rPr>
              <w:t>表、统计分析表，如固定资产总账、总分类帐、分户明细账、结存表等。</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27</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▲操作日志</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记录所有用户的系统操作及操作时间。</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28</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精密、贵重及大型仪器设备信息维护</w:t>
            </w:r>
          </w:p>
        </w:tc>
        <w:tc>
          <w:tcPr>
            <w:tcW w:w="7261" w:type="dxa"/>
            <w:tcBorders>
              <w:top w:val="single" w:color="auto" w:sz="4" w:space="0"/>
              <w:left w:val="single" w:color="auto" w:sz="4" w:space="0"/>
              <w:bottom w:val="single" w:color="auto" w:sz="4" w:space="0"/>
              <w:right w:val="single" w:color="auto" w:sz="4" w:space="0"/>
            </w:tcBorders>
          </w:tcPr>
          <w:p>
            <w:pPr>
              <w:pStyle w:val="17"/>
              <w:widowControl/>
              <w:numPr>
                <w:ilvl w:val="0"/>
                <w:numId w:val="15"/>
              </w:numPr>
              <w:spacing w:line="240" w:lineRule="exact"/>
              <w:ind w:firstLineChars="0"/>
              <w:jc w:val="left"/>
              <w:rPr>
                <w:rFonts w:ascii="宋体" w:hAnsi="宋体" w:cs="宋体"/>
                <w:kern w:val="0"/>
                <w:sz w:val="24"/>
              </w:rPr>
            </w:pPr>
            <w:r>
              <w:rPr>
                <w:rFonts w:hint="eastAsia" w:ascii="宋体" w:hAnsi="宋体" w:cs="宋体"/>
                <w:kern w:val="0"/>
                <w:sz w:val="24"/>
              </w:rPr>
              <w:t>根据教育部要求的关键信息项，加强对精密贵重仪器设备的日常管理与维护，并对其使用信息进行记录，对上网公开信息进行管理和维护；</w:t>
            </w:r>
          </w:p>
          <w:p>
            <w:pPr>
              <w:pStyle w:val="17"/>
              <w:widowControl/>
              <w:numPr>
                <w:ilvl w:val="0"/>
                <w:numId w:val="15"/>
              </w:numPr>
              <w:spacing w:line="240" w:lineRule="exact"/>
              <w:ind w:firstLineChars="0"/>
              <w:jc w:val="left"/>
              <w:rPr>
                <w:rFonts w:ascii="宋体" w:hAnsi="宋体" w:cs="宋体"/>
                <w:kern w:val="0"/>
                <w:sz w:val="24"/>
              </w:rPr>
            </w:pPr>
            <w:r>
              <w:rPr>
                <w:rFonts w:hint="eastAsia" w:ascii="宋体" w:hAnsi="宋体" w:cs="宋体"/>
                <w:sz w:val="24"/>
              </w:rPr>
              <w:t>要求提供对大型精密仪器管理人员提供填写大型精密仪器使用情况界面，并生成教育部要求SJ3《贵重仪器使用情况表》。</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29</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rPr>
              <w:t>数据安全</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完善数据安全机制：数据备份功能，应能够随时对数据状态进行备份，并能够下载转储。数据还原功能，备份数据应可以在一定的环境下进行还原恢复。数据纠错功能，可自动对系统中的数据进行查错，及时对数据的错误进行纠正。</w:t>
            </w:r>
          </w:p>
        </w:tc>
      </w:tr>
      <w:tr>
        <w:tblPrEx>
          <w:tblCellMar>
            <w:top w:w="0" w:type="dxa"/>
            <w:left w:w="108" w:type="dxa"/>
            <w:bottom w:w="0" w:type="dxa"/>
            <w:right w:w="108" w:type="dxa"/>
          </w:tblCellMar>
        </w:tblPrEx>
        <w:trPr>
          <w:trHeight w:val="13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ascii="宋体" w:hAnsi="宋体" w:eastAsia="宋体" w:cs="宋体"/>
                <w:bCs/>
                <w:sz w:val="24"/>
                <w:szCs w:val="24"/>
              </w:rPr>
            </w:pPr>
            <w:r>
              <w:rPr>
                <w:rFonts w:hint="eastAsia" w:ascii="宋体" w:hAnsi="宋体" w:eastAsia="宋体" w:cs="宋体"/>
                <w:bCs/>
                <w:sz w:val="24"/>
                <w:szCs w:val="24"/>
              </w:rPr>
              <w:t>30</w:t>
            </w:r>
          </w:p>
        </w:tc>
        <w:tc>
          <w:tcPr>
            <w:tcW w:w="145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折旧管理</w:t>
            </w:r>
          </w:p>
        </w:tc>
        <w:tc>
          <w:tcPr>
            <w:tcW w:w="7261" w:type="dxa"/>
            <w:tcBorders>
              <w:top w:val="single" w:color="auto" w:sz="4" w:space="0"/>
              <w:left w:val="single" w:color="auto" w:sz="4" w:space="0"/>
              <w:bottom w:val="single" w:color="auto" w:sz="4" w:space="0"/>
              <w:right w:val="single" w:color="auto" w:sz="4" w:space="0"/>
            </w:tcBorders>
          </w:tcPr>
          <w:p>
            <w:pPr>
              <w:spacing w:line="240" w:lineRule="exact"/>
              <w:ind w:firstLine="420"/>
              <w:rPr>
                <w:rFonts w:ascii="宋体" w:hAnsi="宋体" w:eastAsia="宋体" w:cs="宋体"/>
                <w:sz w:val="24"/>
                <w:szCs w:val="24"/>
              </w:rPr>
            </w:pPr>
            <w:r>
              <w:rPr>
                <w:rFonts w:hint="eastAsia" w:ascii="宋体" w:hAnsi="宋体" w:eastAsia="宋体" w:cs="宋体"/>
                <w:sz w:val="24"/>
                <w:szCs w:val="24"/>
              </w:rPr>
              <w:t>系统应满足资产管理需求，和国家的管理制度，应能够按照新政府会计制度的折旧标准对资产进行折旧操作，且能按资产分类（教育部16大类和财政6大类）、使用方向、资产费用类别、统计时间段查询、导出、打印查询折旧统计信息，生成资产折旧报表。。</w:t>
            </w:r>
          </w:p>
        </w:tc>
      </w:tr>
    </w:tbl>
    <w:p>
      <w:pPr>
        <w:pStyle w:val="31"/>
        <w:ind w:firstLine="482"/>
        <w:rPr>
          <w:rFonts w:ascii="宋体" w:hAnsi="宋体" w:cs="宋体"/>
          <w:b/>
          <w:bCs/>
        </w:rPr>
      </w:pPr>
      <w:r>
        <w:rPr>
          <w:rFonts w:hint="eastAsia" w:ascii="宋体" w:hAnsi="宋体" w:cs="宋体"/>
          <w:b/>
          <w:bCs/>
        </w:rPr>
        <w:t>（2）移动端技术要求</w:t>
      </w:r>
    </w:p>
    <w:tbl>
      <w:tblPr>
        <w:tblStyle w:val="1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53"/>
        <w:gridCol w:w="5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5" w:type="dxa"/>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2753" w:type="dxa"/>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技术指标要求</w:t>
            </w:r>
          </w:p>
        </w:tc>
        <w:tc>
          <w:tcPr>
            <w:tcW w:w="5923" w:type="dxa"/>
            <w:vAlign w:val="center"/>
          </w:tcPr>
          <w:p>
            <w:pPr>
              <w:spacing w:line="240" w:lineRule="exact"/>
              <w:jc w:val="center"/>
              <w:rPr>
                <w:rFonts w:ascii="宋体" w:hAnsi="宋体" w:eastAsia="宋体" w:cs="宋体"/>
                <w:b/>
                <w:sz w:val="24"/>
                <w:szCs w:val="24"/>
              </w:rPr>
            </w:pPr>
            <w:r>
              <w:rPr>
                <w:rFonts w:hint="eastAsia" w:ascii="宋体" w:hAnsi="宋体" w:eastAsia="宋体" w:cs="宋体"/>
                <w:b/>
                <w:sz w:val="24"/>
                <w:szCs w:val="24"/>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1</w:t>
            </w:r>
          </w:p>
        </w:tc>
        <w:tc>
          <w:tcPr>
            <w:tcW w:w="2753"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为用户提供手机、平板电脑移动设备端的应用（微信公众号）。</w:t>
            </w:r>
          </w:p>
        </w:tc>
        <w:tc>
          <w:tcPr>
            <w:tcW w:w="5923" w:type="dxa"/>
            <w:vAlign w:val="center"/>
          </w:tcPr>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应实现业务（资产新增、变动）在移动端办理；</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应实现待办（资产新增、变动）资产信息通知提醒功能，让所有提交人、审核人随时收到提醒通知；</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应实现业务（资产新增、变动）办理进度查询功能；</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应实现管辖单位内或个人名下（根据个人角色权限自动识别）资产信息查询功能；</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应提供通知公告发布及信息推送功能；</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“扫码”应实现信息快速查询（扫描查询通过手机摄像头扫描，手动查询通过输入资产编号）功能；</w:t>
            </w:r>
          </w:p>
          <w:p>
            <w:pPr>
              <w:pStyle w:val="17"/>
              <w:numPr>
                <w:ilvl w:val="0"/>
                <w:numId w:val="16"/>
              </w:numPr>
              <w:spacing w:line="240" w:lineRule="exact"/>
              <w:ind w:left="0" w:firstLine="0" w:firstLineChars="0"/>
              <w:contextualSpacing/>
              <w:jc w:val="left"/>
              <w:rPr>
                <w:rFonts w:ascii="宋体" w:hAnsi="宋体" w:cs="宋体"/>
                <w:kern w:val="0"/>
                <w:sz w:val="24"/>
              </w:rPr>
            </w:pPr>
            <w:r>
              <w:rPr>
                <w:rFonts w:hint="eastAsia" w:ascii="宋体" w:hAnsi="宋体" w:cs="宋体"/>
                <w:kern w:val="0"/>
                <w:sz w:val="24"/>
              </w:rPr>
              <w:t>应实现资产盘点（扫描盘点通过手机摄像头扫描，手动盘点通过输入资产编号）功能；</w:t>
            </w:r>
          </w:p>
        </w:tc>
      </w:tr>
    </w:tbl>
    <w:p>
      <w:pPr>
        <w:pStyle w:val="31"/>
        <w:ind w:firstLine="482"/>
        <w:rPr>
          <w:rFonts w:ascii="宋体" w:hAnsi="宋体" w:cs="宋体"/>
          <w:b/>
          <w:bCs/>
        </w:rPr>
      </w:pPr>
      <w:r>
        <w:rPr>
          <w:rFonts w:hint="eastAsia" w:ascii="宋体" w:hAnsi="宋体" w:cs="宋体"/>
          <w:b/>
          <w:bCs/>
        </w:rPr>
        <w:t>（3）与其他业务系统的数据集成对接</w:t>
      </w:r>
    </w:p>
    <w:tbl>
      <w:tblPr>
        <w:tblStyle w:val="10"/>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762"/>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762" w:type="dxa"/>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技术指标要求</w:t>
            </w:r>
          </w:p>
        </w:tc>
        <w:tc>
          <w:tcPr>
            <w:tcW w:w="6477" w:type="dxa"/>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▲1</w:t>
            </w:r>
          </w:p>
        </w:tc>
        <w:tc>
          <w:tcPr>
            <w:tcW w:w="1762"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与采购人数字化校园平台系统</w:t>
            </w:r>
            <w:r>
              <w:rPr>
                <w:rFonts w:hint="eastAsia" w:ascii="宋体" w:hAnsi="宋体" w:eastAsia="宋体" w:cs="宋体"/>
                <w:sz w:val="24"/>
                <w:szCs w:val="24"/>
                <w:highlight w:val="none"/>
                <w:lang w:eastAsia="zh-CN"/>
              </w:rPr>
              <w:t>无缝</w:t>
            </w:r>
            <w:r>
              <w:rPr>
                <w:rFonts w:hint="eastAsia" w:ascii="宋体" w:hAnsi="宋体" w:eastAsia="宋体" w:cs="宋体"/>
                <w:sz w:val="24"/>
                <w:szCs w:val="24"/>
              </w:rPr>
              <w:t>对接</w:t>
            </w:r>
          </w:p>
        </w:tc>
        <w:tc>
          <w:tcPr>
            <w:tcW w:w="6477"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1）为用户提供学校数字化校园系统实现基本数据对接，实现校内一站式业务办理；</w:t>
            </w:r>
          </w:p>
          <w:p>
            <w:pPr>
              <w:spacing w:line="240" w:lineRule="exact"/>
              <w:rPr>
                <w:rFonts w:ascii="宋体" w:hAnsi="宋体" w:eastAsia="宋体" w:cs="宋体"/>
                <w:sz w:val="24"/>
                <w:szCs w:val="24"/>
              </w:rPr>
            </w:pPr>
            <w:r>
              <w:rPr>
                <w:rFonts w:hint="eastAsia" w:ascii="宋体" w:hAnsi="宋体" w:eastAsia="宋体" w:cs="宋体"/>
                <w:sz w:val="24"/>
                <w:szCs w:val="24"/>
              </w:rPr>
              <w:t>2）实现资产管理系统的用户与数字校园系统、今日校园A</w:t>
            </w:r>
            <w:r>
              <w:rPr>
                <w:rFonts w:ascii="宋体" w:hAnsi="宋体" w:eastAsia="宋体" w:cs="宋体"/>
                <w:sz w:val="24"/>
                <w:szCs w:val="24"/>
              </w:rPr>
              <w:t>PP</w:t>
            </w:r>
            <w:r>
              <w:rPr>
                <w:rFonts w:hint="eastAsia" w:ascii="宋体" w:hAnsi="宋体" w:eastAsia="宋体" w:cs="宋体"/>
                <w:sz w:val="24"/>
                <w:szCs w:val="24"/>
              </w:rPr>
              <w:t>进行统一身份认证。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▲2</w:t>
            </w:r>
          </w:p>
        </w:tc>
        <w:tc>
          <w:tcPr>
            <w:tcW w:w="1762" w:type="dxa"/>
            <w:vAlign w:val="center"/>
          </w:tcPr>
          <w:p>
            <w:pPr>
              <w:spacing w:line="240" w:lineRule="exact"/>
              <w:rPr>
                <w:rFonts w:ascii="宋体" w:hAnsi="宋体" w:eastAsia="宋体" w:cs="宋体"/>
                <w:sz w:val="24"/>
                <w:szCs w:val="24"/>
              </w:rPr>
            </w:pPr>
            <w:r>
              <w:rPr>
                <w:rFonts w:hint="eastAsia" w:ascii="宋体" w:hAnsi="宋体" w:eastAsia="宋体" w:cs="宋体"/>
                <w:sz w:val="24"/>
                <w:szCs w:val="24"/>
              </w:rPr>
              <w:t>与采购人财务管理系统</w:t>
            </w:r>
            <w:r>
              <w:rPr>
                <w:rFonts w:hint="eastAsia" w:ascii="宋体" w:hAnsi="宋体" w:eastAsia="宋体" w:cs="宋体"/>
                <w:sz w:val="24"/>
                <w:szCs w:val="24"/>
                <w:lang w:eastAsia="zh-CN"/>
              </w:rPr>
              <w:t>无缝</w:t>
            </w:r>
            <w:r>
              <w:rPr>
                <w:rFonts w:hint="eastAsia" w:ascii="宋体" w:hAnsi="宋体" w:eastAsia="宋体" w:cs="宋体"/>
                <w:sz w:val="24"/>
                <w:szCs w:val="24"/>
              </w:rPr>
              <w:t>对接</w:t>
            </w:r>
          </w:p>
        </w:tc>
        <w:tc>
          <w:tcPr>
            <w:tcW w:w="6477" w:type="dxa"/>
          </w:tcPr>
          <w:p>
            <w:pPr>
              <w:autoSpaceDN w:val="0"/>
              <w:spacing w:line="240" w:lineRule="exact"/>
              <w:textAlignment w:val="center"/>
              <w:rPr>
                <w:rFonts w:ascii="宋体" w:hAnsi="宋体" w:eastAsia="宋体" w:cs="宋体"/>
                <w:bCs/>
                <w:sz w:val="24"/>
                <w:szCs w:val="24"/>
              </w:rPr>
            </w:pPr>
            <w:r>
              <w:rPr>
                <w:rFonts w:hint="eastAsia" w:ascii="宋体" w:hAnsi="宋体" w:eastAsia="宋体" w:cs="宋体"/>
                <w:bCs/>
                <w:sz w:val="24"/>
                <w:szCs w:val="24"/>
              </w:rPr>
              <w:t>1）实现与学校财务软件系统的数据实时核对；</w:t>
            </w:r>
          </w:p>
          <w:p>
            <w:pPr>
              <w:autoSpaceDN w:val="0"/>
              <w:spacing w:line="240" w:lineRule="exact"/>
              <w:textAlignment w:val="center"/>
              <w:rPr>
                <w:rFonts w:ascii="宋体" w:hAnsi="宋体" w:eastAsia="宋体" w:cs="宋体"/>
                <w:bCs/>
                <w:sz w:val="24"/>
                <w:szCs w:val="24"/>
              </w:rPr>
            </w:pPr>
            <w:r>
              <w:rPr>
                <w:rFonts w:hint="eastAsia" w:ascii="宋体" w:hAnsi="宋体" w:eastAsia="宋体" w:cs="宋体"/>
                <w:bCs/>
                <w:sz w:val="24"/>
                <w:szCs w:val="24"/>
              </w:rPr>
              <w:t>2）实现新增、增减值、处置资产的数据同步；</w:t>
            </w:r>
          </w:p>
          <w:p>
            <w:pPr>
              <w:autoSpaceDN w:val="0"/>
              <w:spacing w:line="240" w:lineRule="exact"/>
              <w:textAlignment w:val="center"/>
              <w:rPr>
                <w:rFonts w:ascii="宋体" w:hAnsi="宋体" w:eastAsia="宋体" w:cs="宋体"/>
                <w:bCs/>
                <w:sz w:val="24"/>
                <w:szCs w:val="24"/>
              </w:rPr>
            </w:pPr>
            <w:r>
              <w:rPr>
                <w:rFonts w:hint="eastAsia" w:ascii="宋体" w:hAnsi="宋体" w:eastAsia="宋体" w:cs="宋体"/>
                <w:bCs/>
                <w:sz w:val="24"/>
                <w:szCs w:val="24"/>
              </w:rPr>
              <w:t>3）实现财务软件与资产数据核对异常数据提醒；</w:t>
            </w:r>
          </w:p>
          <w:p>
            <w:pPr>
              <w:spacing w:line="240" w:lineRule="exact"/>
              <w:rPr>
                <w:rFonts w:ascii="宋体" w:hAnsi="宋体" w:eastAsia="宋体" w:cs="宋体"/>
                <w:bCs/>
                <w:sz w:val="24"/>
                <w:szCs w:val="24"/>
              </w:rPr>
            </w:pPr>
            <w:r>
              <w:rPr>
                <w:rFonts w:hint="eastAsia" w:ascii="宋体" w:hAnsi="宋体" w:eastAsia="宋体" w:cs="宋体"/>
                <w:bCs/>
                <w:sz w:val="24"/>
                <w:szCs w:val="24"/>
              </w:rPr>
              <w:t>4）保障固定资产入账价值与财务报销价值完全一致并可相互追溯，达到账实相符的目标。</w:t>
            </w:r>
          </w:p>
        </w:tc>
      </w:tr>
    </w:tbl>
    <w:p>
      <w:pPr>
        <w:pStyle w:val="31"/>
        <w:ind w:firstLine="482"/>
        <w:rPr>
          <w:rFonts w:ascii="宋体" w:hAnsi="宋体" w:cs="宋体"/>
          <w:b/>
          <w:bCs/>
        </w:rPr>
      </w:pPr>
      <w:r>
        <w:rPr>
          <w:rFonts w:hint="eastAsia" w:ascii="宋体" w:hAnsi="宋体" w:cs="宋体"/>
          <w:b/>
          <w:bCs/>
        </w:rPr>
        <w:t>（4）数据清洗与迁移要求</w:t>
      </w:r>
    </w:p>
    <w:tbl>
      <w:tblPr>
        <w:tblStyle w:val="10"/>
        <w:tblW w:w="9356" w:type="dxa"/>
        <w:jc w:val="center"/>
        <w:tblLayout w:type="fixed"/>
        <w:tblCellMar>
          <w:top w:w="0" w:type="dxa"/>
          <w:left w:w="108" w:type="dxa"/>
          <w:bottom w:w="0" w:type="dxa"/>
          <w:right w:w="108" w:type="dxa"/>
        </w:tblCellMar>
      </w:tblPr>
      <w:tblGrid>
        <w:gridCol w:w="964"/>
        <w:gridCol w:w="8392"/>
      </w:tblGrid>
      <w:tr>
        <w:tblPrEx>
          <w:tblCellMar>
            <w:top w:w="0" w:type="dxa"/>
            <w:left w:w="108" w:type="dxa"/>
            <w:bottom w:w="0" w:type="dxa"/>
            <w:right w:w="108" w:type="dxa"/>
          </w:tblCellMar>
        </w:tblPrEx>
        <w:trPr>
          <w:trHeight w:val="285" w:hRule="atLeast"/>
          <w:jc w:val="center"/>
        </w:trPr>
        <w:tc>
          <w:tcPr>
            <w:tcW w:w="964" w:type="dxa"/>
            <w:tcBorders>
              <w:top w:val="single" w:color="auto" w:sz="4" w:space="0"/>
              <w:left w:val="single" w:color="auto" w:sz="4" w:space="0"/>
              <w:bottom w:val="single" w:color="auto" w:sz="4" w:space="0"/>
              <w:right w:val="single" w:color="auto" w:sz="4" w:space="0"/>
            </w:tcBorders>
            <w:shd w:val="clear" w:color="000000" w:fill="D9D9D9"/>
            <w:vAlign w:val="center"/>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8392" w:type="dxa"/>
            <w:tcBorders>
              <w:top w:val="single" w:color="auto" w:sz="4" w:space="0"/>
              <w:left w:val="nil"/>
              <w:bottom w:val="single" w:color="auto" w:sz="4" w:space="0"/>
              <w:right w:val="single" w:color="auto" w:sz="4" w:space="0"/>
            </w:tcBorders>
            <w:shd w:val="clear" w:color="000000" w:fill="D9D9D9"/>
            <w:vAlign w:val="center"/>
          </w:tcPr>
          <w:p>
            <w:pPr>
              <w:spacing w:line="240" w:lineRule="exact"/>
              <w:jc w:val="center"/>
              <w:rPr>
                <w:rFonts w:ascii="宋体" w:hAnsi="宋体" w:eastAsia="宋体" w:cs="宋体"/>
                <w:b/>
                <w:bCs/>
                <w:sz w:val="24"/>
                <w:szCs w:val="24"/>
              </w:rPr>
            </w:pPr>
            <w:r>
              <w:rPr>
                <w:rFonts w:hint="eastAsia" w:ascii="宋体" w:hAnsi="宋体" w:eastAsia="宋体" w:cs="宋体"/>
                <w:b/>
                <w:bCs/>
                <w:sz w:val="24"/>
                <w:szCs w:val="24"/>
              </w:rPr>
              <w:t>要求</w:t>
            </w:r>
          </w:p>
        </w:tc>
      </w:tr>
      <w:tr>
        <w:tblPrEx>
          <w:tblCellMar>
            <w:top w:w="0" w:type="dxa"/>
            <w:left w:w="108" w:type="dxa"/>
            <w:bottom w:w="0" w:type="dxa"/>
            <w:right w:w="108" w:type="dxa"/>
          </w:tblCellMar>
        </w:tblPrEx>
        <w:trPr>
          <w:trHeight w:val="291" w:hRule="atLeast"/>
          <w:jc w:val="center"/>
        </w:trPr>
        <w:tc>
          <w:tcPr>
            <w:tcW w:w="964"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▲1</w:t>
            </w:r>
          </w:p>
        </w:tc>
        <w:tc>
          <w:tcPr>
            <w:tcW w:w="8392" w:type="dxa"/>
            <w:tcBorders>
              <w:top w:val="nil"/>
              <w:left w:val="nil"/>
              <w:bottom w:val="single" w:color="auto" w:sz="4" w:space="0"/>
              <w:right w:val="single" w:color="auto" w:sz="4" w:space="0"/>
            </w:tcBorders>
          </w:tcPr>
          <w:p>
            <w:pPr>
              <w:spacing w:line="240" w:lineRule="exact"/>
              <w:rPr>
                <w:rFonts w:ascii="宋体" w:hAnsi="宋体" w:eastAsia="宋体" w:cs="宋体"/>
                <w:sz w:val="24"/>
                <w:szCs w:val="24"/>
              </w:rPr>
            </w:pPr>
            <w:r>
              <w:rPr>
                <w:rFonts w:hint="eastAsia" w:ascii="宋体" w:hAnsi="宋体" w:eastAsia="宋体" w:cs="宋体"/>
                <w:sz w:val="24"/>
                <w:szCs w:val="24"/>
              </w:rPr>
              <w:t>福建中医药大学国有资产数据超过10万条，由于原有资产编号（资产条码标签）重新打印、粘贴工作量巨大，要求投标人新建平台必须保留原有资产编号生成规则，无需重新打印全校资产条码标签。并可保证现有数据迁移到新系统中，资产编号不变。</w:t>
            </w:r>
          </w:p>
        </w:tc>
      </w:tr>
      <w:tr>
        <w:tblPrEx>
          <w:tblCellMar>
            <w:top w:w="0" w:type="dxa"/>
            <w:left w:w="108" w:type="dxa"/>
            <w:bottom w:w="0" w:type="dxa"/>
            <w:right w:w="108" w:type="dxa"/>
          </w:tblCellMar>
        </w:tblPrEx>
        <w:trPr>
          <w:trHeight w:val="29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▲2</w:t>
            </w:r>
          </w:p>
        </w:tc>
        <w:tc>
          <w:tcPr>
            <w:tcW w:w="8392" w:type="dxa"/>
            <w:tcBorders>
              <w:top w:val="single" w:color="auto" w:sz="4" w:space="0"/>
              <w:left w:val="nil"/>
              <w:bottom w:val="single" w:color="auto" w:sz="4" w:space="0"/>
              <w:right w:val="single" w:color="auto" w:sz="4" w:space="0"/>
            </w:tcBorders>
          </w:tcPr>
          <w:p>
            <w:pPr>
              <w:spacing w:line="240" w:lineRule="exact"/>
              <w:rPr>
                <w:rFonts w:ascii="宋体" w:hAnsi="宋体" w:eastAsia="宋体" w:cs="宋体"/>
                <w:sz w:val="24"/>
                <w:szCs w:val="24"/>
              </w:rPr>
            </w:pPr>
            <w:r>
              <w:rPr>
                <w:rFonts w:hint="eastAsia" w:ascii="宋体" w:hAnsi="宋体" w:eastAsia="宋体" w:cs="宋体"/>
                <w:sz w:val="24"/>
                <w:szCs w:val="24"/>
              </w:rPr>
              <w:t>由于福建中医药大学国有资产数据量非常庞大，在转换数据的过程中数据的准确性要求满足100%完整（含福建中医药大学国有资产在账信息、变动信息、单位信息、人员信息、资产清查信息等），要求投标人做到与福建中医药大学使用原资产管理软件实现数据对接，转换数据的工作量和费用含在本次系统升级项目中，不再单独支付。</w:t>
            </w:r>
          </w:p>
        </w:tc>
      </w:tr>
    </w:tbl>
    <w:p>
      <w:pPr>
        <w:rPr>
          <w:rFonts w:ascii="宋体" w:hAnsi="宋体" w:eastAsia="宋体" w:cs="宋体"/>
          <w:b/>
          <w:sz w:val="24"/>
          <w:szCs w:val="24"/>
        </w:rPr>
      </w:pPr>
      <w:r>
        <w:rPr>
          <w:rFonts w:hint="eastAsia" w:ascii="宋体" w:hAnsi="宋体" w:eastAsia="宋体" w:cs="宋体"/>
          <w:b/>
          <w:sz w:val="24"/>
          <w:szCs w:val="24"/>
        </w:rPr>
        <w:br w:type="page"/>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4.个性化功能要求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（1）模块化管理：为满足采购人资产主管部门多科室、多元化、共同参与管理而互不干预及影响的管理目的，要求实现各模块单独管理，亦可实现集成管理。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（2）数据查询与备份：为满足日常数据异地备份、多账套的管理要求，系统应具备B/S（网络版）、C/S（单机版）并存的数据查询、备份形式。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（3）工作流程管理：投标产品中所有资产业务流程（包括但不限于资产入账、变动、调拨、报废等）需要支持可视化自定义流程定制（列表和图形两种方式必须同时满足）。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（4）二维码技术应用：</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1）标签：开展资产标签二维码技术的应用；</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2）验收单：开展验收单二维码技术的应用；</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3）扫描上传资产图片：完成新增资产信息后生成二维码，扫描二维码可通过调用扫描设备的摄像头拍摄或直接将设备外观、发票图片等上传到系统中；</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4）资产入库成功后可推送二维码至申请人手机，通过二维码可至一体化终端机直接远程打印单据及标签。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（5）简易电子签章（二维码）技术应用：</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1）在PC端系统应实现自定义上传简易电子签章的功能；</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2）支持移动端直接签名上传，无须进行图文处理；</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3）通过简易电子签章应实现在审核审批环节中，鉴权后将简易电子签章直接打印在单据（如新增、处置等）上，减少老师报账流程，实现无纸化办公，提高工作效率；</w:t>
      </w:r>
    </w:p>
    <w:p>
      <w:pPr>
        <w:spacing w:line="360" w:lineRule="auto"/>
        <w:ind w:left="210" w:leftChars="100" w:firstLine="480" w:firstLineChars="200"/>
        <w:rPr>
          <w:rFonts w:ascii="宋体" w:hAnsi="宋体" w:eastAsia="宋体" w:cs="宋体"/>
          <w:sz w:val="24"/>
          <w:szCs w:val="24"/>
        </w:rPr>
      </w:pPr>
      <w:r>
        <w:rPr>
          <w:rFonts w:hint="eastAsia" w:ascii="宋体" w:hAnsi="宋体" w:eastAsia="宋体" w:cs="宋体"/>
          <w:sz w:val="24"/>
          <w:szCs w:val="24"/>
        </w:rPr>
        <w:t>4）在资产报增、报废处置过程审核环节中，支持简易电子签章（通过二维码功能实现）功能，用户可通过电子签章技术进行在线签字，签完后体现在单据中。</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418CD"/>
    <w:multiLevelType w:val="multilevel"/>
    <w:tmpl w:val="006418C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134DE9"/>
    <w:multiLevelType w:val="multilevel"/>
    <w:tmpl w:val="05134DE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641516"/>
    <w:multiLevelType w:val="multilevel"/>
    <w:tmpl w:val="0F641516"/>
    <w:lvl w:ilvl="0" w:tentative="0">
      <w:start w:val="1"/>
      <w:numFmt w:val="decimal"/>
      <w:lvlText w:val="%1)"/>
      <w:lvlJc w:val="left"/>
      <w:pPr>
        <w:ind w:left="420" w:hanging="420"/>
      </w:pPr>
      <w:rPr>
        <w:rFonts w:hint="eastAsia"/>
      </w:rPr>
    </w:lvl>
    <w:lvl w:ilvl="1" w:tentative="0">
      <w:start w:val="1"/>
      <w:numFmt w:val="bullet"/>
      <w:lvlText w:val="★"/>
      <w:lvlJc w:val="left"/>
      <w:pPr>
        <w:ind w:left="780" w:hanging="360"/>
      </w:pPr>
      <w:rPr>
        <w:rFonts w:hint="eastAsia" w:ascii="等线" w:hAnsi="等线" w:eastAsia="等线" w:cs="宋体"/>
      </w:rPr>
    </w:lvl>
    <w:lvl w:ilvl="2" w:tentative="0">
      <w:start w:val="1"/>
      <w:numFmt w:val="decimalEnclosedCircle"/>
      <w:lvlText w:val="%3"/>
      <w:lvlJc w:val="left"/>
      <w:pPr>
        <w:ind w:left="1068" w:hanging="36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0619F2"/>
    <w:multiLevelType w:val="multilevel"/>
    <w:tmpl w:val="250619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3570BF"/>
    <w:multiLevelType w:val="multilevel"/>
    <w:tmpl w:val="2A3570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6F3A5F"/>
    <w:multiLevelType w:val="multilevel"/>
    <w:tmpl w:val="2D6F3A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060B26"/>
    <w:multiLevelType w:val="multilevel"/>
    <w:tmpl w:val="34060B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A638B9"/>
    <w:multiLevelType w:val="multilevel"/>
    <w:tmpl w:val="3DA638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5BC11B3"/>
    <w:multiLevelType w:val="multilevel"/>
    <w:tmpl w:val="45BC11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5CE2A33"/>
    <w:multiLevelType w:val="multilevel"/>
    <w:tmpl w:val="45CE2A3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7F4FF4"/>
    <w:multiLevelType w:val="multilevel"/>
    <w:tmpl w:val="4D7F4F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5A9E8B"/>
    <w:multiLevelType w:val="singleLevel"/>
    <w:tmpl w:val="555A9E8B"/>
    <w:lvl w:ilvl="0" w:tentative="0">
      <w:start w:val="1"/>
      <w:numFmt w:val="decimal"/>
      <w:pStyle w:val="25"/>
      <w:suff w:val="nothing"/>
      <w:lvlText w:val="%1）"/>
      <w:lvlJc w:val="left"/>
    </w:lvl>
  </w:abstractNum>
  <w:abstractNum w:abstractNumId="12">
    <w:nsid w:val="57191F24"/>
    <w:multiLevelType w:val="multilevel"/>
    <w:tmpl w:val="57191F2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B375A9"/>
    <w:multiLevelType w:val="multilevel"/>
    <w:tmpl w:val="5DB375A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036C3E"/>
    <w:multiLevelType w:val="multilevel"/>
    <w:tmpl w:val="78036C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D254B5E"/>
    <w:multiLevelType w:val="multilevel"/>
    <w:tmpl w:val="7D254B5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4"/>
  </w:num>
  <w:num w:numId="3">
    <w:abstractNumId w:val="10"/>
  </w:num>
  <w:num w:numId="4">
    <w:abstractNumId w:val="12"/>
  </w:num>
  <w:num w:numId="5">
    <w:abstractNumId w:val="7"/>
  </w:num>
  <w:num w:numId="6">
    <w:abstractNumId w:val="2"/>
  </w:num>
  <w:num w:numId="7">
    <w:abstractNumId w:val="15"/>
  </w:num>
  <w:num w:numId="8">
    <w:abstractNumId w:val="8"/>
  </w:num>
  <w:num w:numId="9">
    <w:abstractNumId w:val="13"/>
  </w:num>
  <w:num w:numId="10">
    <w:abstractNumId w:val="3"/>
  </w:num>
  <w:num w:numId="11">
    <w:abstractNumId w:val="1"/>
  </w:num>
  <w:num w:numId="12">
    <w:abstractNumId w:val="6"/>
  </w:num>
  <w:num w:numId="13">
    <w:abstractNumId w:val="0"/>
  </w:num>
  <w:num w:numId="14">
    <w:abstractNumId w:val="9"/>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WYwN2IwZGNkOGNiOWY3NDQ2OGNmNTdjMDAxNTUifQ=="/>
  </w:docVars>
  <w:rsids>
    <w:rsidRoot w:val="00580129"/>
    <w:rsid w:val="00032AC7"/>
    <w:rsid w:val="000A4F05"/>
    <w:rsid w:val="000C63D1"/>
    <w:rsid w:val="00103B85"/>
    <w:rsid w:val="001946DA"/>
    <w:rsid w:val="001F2DF0"/>
    <w:rsid w:val="002468C9"/>
    <w:rsid w:val="00281979"/>
    <w:rsid w:val="002C283F"/>
    <w:rsid w:val="002D1F75"/>
    <w:rsid w:val="002E022C"/>
    <w:rsid w:val="00304395"/>
    <w:rsid w:val="003A1DEB"/>
    <w:rsid w:val="00403801"/>
    <w:rsid w:val="00410AEB"/>
    <w:rsid w:val="0041746B"/>
    <w:rsid w:val="00454412"/>
    <w:rsid w:val="00457955"/>
    <w:rsid w:val="00566BCE"/>
    <w:rsid w:val="00580129"/>
    <w:rsid w:val="005C66B1"/>
    <w:rsid w:val="005E4943"/>
    <w:rsid w:val="006B014E"/>
    <w:rsid w:val="006C6087"/>
    <w:rsid w:val="00810AAB"/>
    <w:rsid w:val="008D4B3C"/>
    <w:rsid w:val="009325CE"/>
    <w:rsid w:val="009B3CAE"/>
    <w:rsid w:val="009E2738"/>
    <w:rsid w:val="009F0871"/>
    <w:rsid w:val="00A018D0"/>
    <w:rsid w:val="00A02488"/>
    <w:rsid w:val="00AB4B3B"/>
    <w:rsid w:val="00B1131F"/>
    <w:rsid w:val="00B62711"/>
    <w:rsid w:val="00BE5816"/>
    <w:rsid w:val="00C03FC3"/>
    <w:rsid w:val="00C05794"/>
    <w:rsid w:val="00CD09C3"/>
    <w:rsid w:val="00CD435C"/>
    <w:rsid w:val="00D254AA"/>
    <w:rsid w:val="00DF3288"/>
    <w:rsid w:val="00EE2538"/>
    <w:rsid w:val="00EE3B07"/>
    <w:rsid w:val="00F01AC4"/>
    <w:rsid w:val="00F84A89"/>
    <w:rsid w:val="07112842"/>
    <w:rsid w:val="1D870123"/>
    <w:rsid w:val="2BD613BB"/>
    <w:rsid w:val="30225166"/>
    <w:rsid w:val="4BF80F60"/>
    <w:rsid w:val="57F26832"/>
    <w:rsid w:val="58F6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