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4632"/>
        <w:gridCol w:w="3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2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44"/>
                <w:szCs w:val="44"/>
              </w:rPr>
              <w:t>校外人员进出登记表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身份证件号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是否有车（车牌号）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是否来自疫区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是否与外籍人士有接触且隔离14天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健康状况（健康/健康异常）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b/>
          <w:sz w:val="28"/>
          <w:szCs w:val="28"/>
        </w:rPr>
        <w:t>请提前填报，以便我处及时做好报备。</w:t>
      </w:r>
    </w:p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2.须提供2022年4月19日当天健康码、行程卡和4月18日后的核酸检测结果。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6271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128</Words>
  <Characters>135</Characters>
  <Lines>1</Lines>
  <Paragraphs>1</Paragraphs>
  <TotalTime>2</TotalTime>
  <ScaleCrop>false</ScaleCrop>
  <LinksUpToDate>false</LinksUpToDate>
  <CharactersWithSpaces>167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2020-06-05T10:48:00Z</dcterms:created>
  <dc:creator>Sky123.Org</dc:creator>
  <cp:lastModifiedBy>不哭</cp:lastModifiedBy>
  <dcterms:modified xsi:type="dcterms:W3CDTF">2022-04-15T08:35:14Z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2CB2D8D88DF2423A8CF055DB03B61111</vt:lpwstr>
  </property>
</Properties>
</file>