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widowControl/>
        <w:numPr>
          <w:numId w:val="0"/>
        </w:numPr>
        <w:spacing w:before="100" w:beforeAutospacing="1" w:after="100" w:afterAutospacing="1" w:line="360" w:lineRule="auto"/>
        <w:ind w:leftChars="0"/>
        <w:jc w:val="left"/>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一、产品技术要求：</w:t>
      </w:r>
    </w:p>
    <w:p>
      <w:pPr>
        <w:pStyle w:val="23"/>
        <w:widowControl/>
        <w:numPr>
          <w:ilvl w:val="0"/>
          <w:numId w:val="2"/>
        </w:numPr>
        <w:spacing w:before="100" w:beforeAutospacing="1" w:after="100" w:afterAutospacing="1" w:line="360" w:lineRule="auto"/>
        <w:ind w:firstLineChars="0"/>
        <w:jc w:val="left"/>
        <w:rPr>
          <w:rFonts w:ascii="宋体" w:hAnsi="宋体" w:eastAsia="宋体" w:cs="宋体"/>
          <w:kern w:val="0"/>
          <w:sz w:val="24"/>
        </w:rPr>
      </w:pPr>
      <w:r>
        <w:rPr>
          <w:rFonts w:hint="eastAsia" w:ascii="宋体" w:hAnsi="宋体"/>
          <w:sz w:val="24"/>
          <w:szCs w:val="28"/>
        </w:rPr>
        <w:t>所投产品为国产、拥有自主知识产权</w:t>
      </w:r>
      <w:r>
        <w:rPr>
          <w:rFonts w:hint="eastAsia" w:ascii="宋体" w:hAnsi="宋体"/>
          <w:sz w:val="24"/>
          <w:szCs w:val="28"/>
          <w:lang w:val="en-US" w:eastAsia="zh-CN"/>
        </w:rPr>
        <w:t>的</w:t>
      </w:r>
      <w:r>
        <w:rPr>
          <w:rFonts w:hint="eastAsia" w:ascii="宋体" w:hAnsi="宋体"/>
          <w:sz w:val="24"/>
          <w:szCs w:val="28"/>
        </w:rPr>
        <w:t>产品。</w:t>
      </w:r>
      <w:r>
        <w:rPr>
          <w:rFonts w:hint="eastAsia" w:ascii="宋体" w:hAnsi="宋体"/>
          <w:sz w:val="24"/>
          <w:szCs w:val="28"/>
          <w:lang w:eastAsia="zh-CN"/>
        </w:rPr>
        <w:t>（</w:t>
      </w:r>
      <w:r>
        <w:rPr>
          <w:rFonts w:hint="eastAsia" w:ascii="宋体" w:hAnsi="宋体"/>
          <w:sz w:val="24"/>
          <w:szCs w:val="28"/>
        </w:rPr>
        <w:t>提供满足上述要求的产品软件著作权证书佐证</w:t>
      </w:r>
      <w:r>
        <w:rPr>
          <w:rFonts w:hint="eastAsia" w:ascii="宋体" w:hAnsi="宋体"/>
          <w:sz w:val="24"/>
          <w:szCs w:val="28"/>
          <w:lang w:eastAsia="zh-CN"/>
        </w:rPr>
        <w:t>）</w:t>
      </w:r>
    </w:p>
    <w:p>
      <w:pPr>
        <w:pStyle w:val="23"/>
        <w:widowControl/>
        <w:numPr>
          <w:ilvl w:val="0"/>
          <w:numId w:val="2"/>
        </w:numPr>
        <w:spacing w:before="100" w:beforeAutospacing="1" w:after="100" w:afterAutospacing="1" w:line="360" w:lineRule="auto"/>
        <w:ind w:firstLineChars="0"/>
        <w:jc w:val="left"/>
        <w:rPr>
          <w:rFonts w:ascii="宋体" w:hAnsi="宋体" w:eastAsia="宋体" w:cs="宋体"/>
          <w:kern w:val="0"/>
          <w:sz w:val="24"/>
        </w:rPr>
      </w:pPr>
      <w:r>
        <w:rPr>
          <w:rFonts w:hint="eastAsia" w:ascii="宋体" w:hAnsi="宋体" w:eastAsia="宋体" w:cs="宋体"/>
          <w:kern w:val="0"/>
          <w:sz w:val="24"/>
        </w:rPr>
        <w:t>采用原生LINUX KVM进行接管和仿真，无需其他虚拟化平台；支持USB重定向。</w:t>
      </w:r>
    </w:p>
    <w:p>
      <w:pPr>
        <w:pStyle w:val="23"/>
        <w:widowControl/>
        <w:numPr>
          <w:ilvl w:val="0"/>
          <w:numId w:val="2"/>
        </w:numPr>
        <w:spacing w:before="100" w:beforeAutospacing="1" w:after="100" w:afterAutospacing="1" w:line="360" w:lineRule="auto"/>
        <w:ind w:firstLineChars="0"/>
        <w:jc w:val="left"/>
        <w:rPr>
          <w:rFonts w:ascii="宋体" w:hAnsi="宋体" w:eastAsia="宋体" w:cs="宋体"/>
          <w:kern w:val="0"/>
          <w:sz w:val="24"/>
        </w:rPr>
      </w:pPr>
      <w:r>
        <w:rPr>
          <w:rFonts w:hint="eastAsia" w:ascii="宋体" w:hAnsi="宋体" w:eastAsia="宋体" w:cs="宋体"/>
          <w:kern w:val="0"/>
          <w:sz w:val="24"/>
        </w:rPr>
        <w:t>配置≥</w:t>
      </w:r>
      <w:r>
        <w:rPr>
          <w:rFonts w:ascii="宋体" w:hAnsi="宋体" w:eastAsia="宋体" w:cs="宋体"/>
          <w:kern w:val="0"/>
          <w:sz w:val="24"/>
        </w:rPr>
        <w:t>30</w:t>
      </w:r>
      <w:r>
        <w:rPr>
          <w:rFonts w:hint="eastAsia" w:ascii="宋体" w:hAnsi="宋体" w:eastAsia="宋体" w:cs="宋体"/>
          <w:kern w:val="0"/>
          <w:sz w:val="24"/>
        </w:rPr>
        <w:t>个虚拟机备份授权点，完全兼容</w:t>
      </w:r>
      <w:r>
        <w:rPr>
          <w:rFonts w:hint="eastAsia" w:ascii="宋体" w:hAnsi="宋体" w:eastAsia="宋体" w:cs="宋体"/>
          <w:kern w:val="0"/>
          <w:sz w:val="24"/>
          <w:lang w:val="en-US" w:eastAsia="zh-CN"/>
        </w:rPr>
        <w:t>学校现有</w:t>
      </w:r>
      <w:r>
        <w:rPr>
          <w:rFonts w:hint="eastAsia" w:ascii="宋体" w:hAnsi="宋体" w:eastAsia="宋体" w:cs="宋体"/>
          <w:kern w:val="0"/>
          <w:sz w:val="24"/>
        </w:rPr>
        <w:t xml:space="preserve">灾备系统平台，统一管理界面，无需重新部署。                                                 </w:t>
      </w:r>
    </w:p>
    <w:p>
      <w:pPr>
        <w:pStyle w:val="23"/>
        <w:widowControl/>
        <w:numPr>
          <w:ilvl w:val="0"/>
          <w:numId w:val="2"/>
        </w:numPr>
        <w:spacing w:before="100" w:beforeAutospacing="1" w:after="100" w:afterAutospacing="1" w:line="360" w:lineRule="auto"/>
        <w:ind w:firstLineChars="0"/>
        <w:jc w:val="left"/>
        <w:rPr>
          <w:rFonts w:ascii="宋体" w:hAnsi="宋体" w:eastAsia="宋体" w:cs="宋体"/>
          <w:kern w:val="0"/>
          <w:sz w:val="24"/>
        </w:rPr>
      </w:pPr>
      <w:r>
        <w:rPr>
          <w:rFonts w:hint="eastAsia" w:ascii="宋体" w:hAnsi="宋体"/>
          <w:sz w:val="24"/>
          <w:szCs w:val="28"/>
        </w:rPr>
        <w:t>基于磁盘逻辑卷进行Block级实时同步，备份有效数据块，基于磁盘卷变化进行增量复制，复制系统卷分区大小，属性，权限，加密等必须与原系统卷保持完全一致，数据复制间隔最短为秒级。</w:t>
      </w:r>
    </w:p>
    <w:p>
      <w:pPr>
        <w:pStyle w:val="23"/>
        <w:widowControl/>
        <w:numPr>
          <w:ilvl w:val="0"/>
          <w:numId w:val="2"/>
        </w:numPr>
        <w:spacing w:before="100" w:beforeAutospacing="1" w:after="100" w:afterAutospacing="1" w:line="360" w:lineRule="auto"/>
        <w:ind w:firstLineChars="0"/>
        <w:jc w:val="left"/>
        <w:rPr>
          <w:rFonts w:ascii="宋体" w:hAnsi="宋体" w:eastAsia="宋体" w:cs="宋体"/>
          <w:kern w:val="0"/>
          <w:sz w:val="24"/>
        </w:rPr>
      </w:pPr>
      <w:r>
        <w:rPr>
          <w:rFonts w:hint="eastAsia" w:ascii="宋体" w:hAnsi="宋体"/>
          <w:sz w:val="24"/>
          <w:szCs w:val="28"/>
        </w:rPr>
        <w:t>千兆环境下，备份速度不低于80MB/s。供应商应提供第三方测评机构出具的满足上述要求的测评报告。</w:t>
      </w:r>
    </w:p>
    <w:p>
      <w:pPr>
        <w:pStyle w:val="12"/>
        <w:numPr>
          <w:ilvl w:val="0"/>
          <w:numId w:val="2"/>
        </w:numPr>
        <w:spacing w:line="360" w:lineRule="auto"/>
        <w:ind w:leftChars="0" w:firstLineChars="0"/>
        <w:rPr>
          <w:rFonts w:ascii="宋体" w:hAnsi="宋体" w:eastAsia="宋体" w:cs="宋体"/>
          <w:kern w:val="0"/>
          <w:sz w:val="24"/>
        </w:rPr>
      </w:pPr>
      <w:r>
        <w:rPr>
          <w:rFonts w:hint="eastAsia" w:asciiTheme="minorEastAsia" w:hAnsiTheme="minorEastAsia"/>
          <w:sz w:val="24"/>
        </w:rPr>
        <w:t>可将物理机虚拟机包括单机、双机、MSCS、RAC全盘备份为QCOW2，无需进行格式转换，RAC备份无需开启归档模式；支持ASM卷精简复制。</w:t>
      </w:r>
    </w:p>
    <w:p>
      <w:pPr>
        <w:pStyle w:val="12"/>
        <w:numPr>
          <w:ilvl w:val="0"/>
          <w:numId w:val="2"/>
        </w:numPr>
        <w:spacing w:line="360" w:lineRule="auto"/>
        <w:ind w:leftChars="0" w:firstLineChars="0"/>
        <w:rPr>
          <w:rFonts w:ascii="宋体" w:hAnsi="宋体"/>
          <w:sz w:val="24"/>
          <w:szCs w:val="28"/>
        </w:rPr>
      </w:pPr>
      <w:r>
        <w:rPr>
          <w:rFonts w:hint="eastAsia" w:ascii="宋体" w:hAnsi="宋体"/>
          <w:sz w:val="24"/>
          <w:szCs w:val="28"/>
        </w:rPr>
        <w:t>代理程序安装后，对已安装代理程序的主机CPU 占用小于 5%，内存占用小于200MB。供应商应提供第三方测评机构出具的满足上述要求的测评报告。</w:t>
      </w:r>
    </w:p>
    <w:p>
      <w:pPr>
        <w:pStyle w:val="12"/>
        <w:numPr>
          <w:ilvl w:val="0"/>
          <w:numId w:val="2"/>
        </w:numPr>
        <w:spacing w:line="360" w:lineRule="auto"/>
        <w:ind w:leftChars="0" w:firstLineChars="0"/>
        <w:rPr>
          <w:rFonts w:asciiTheme="minorEastAsia" w:hAnsiTheme="minorEastAsia"/>
          <w:sz w:val="24"/>
        </w:rPr>
      </w:pPr>
      <w:r>
        <w:rPr>
          <w:rFonts w:hint="eastAsia" w:ascii="宋体" w:hAnsi="宋体"/>
          <w:sz w:val="24"/>
          <w:szCs w:val="28"/>
        </w:rPr>
        <w:t>存储格式标准化，实现将物理机和虚拟机中包括单机、双机、MSCS 及 Oracle RAC（Oracle 无需开启归档模式）达梦，人大金仓数据库等直接以标准qcow2 虚拟磁盘格式进行全量备份与快照，备份后无需进行格式转换。</w:t>
      </w:r>
    </w:p>
    <w:p>
      <w:pPr>
        <w:pStyle w:val="23"/>
        <w:widowControl/>
        <w:numPr>
          <w:ilvl w:val="0"/>
          <w:numId w:val="2"/>
        </w:numPr>
        <w:spacing w:before="100" w:beforeAutospacing="1" w:after="100" w:afterAutospacing="1" w:line="360" w:lineRule="auto"/>
        <w:ind w:firstLineChars="0"/>
        <w:jc w:val="left"/>
        <w:rPr>
          <w:rFonts w:ascii="宋体" w:hAnsi="宋体" w:eastAsia="宋体" w:cs="宋体"/>
          <w:kern w:val="0"/>
          <w:sz w:val="24"/>
        </w:rPr>
      </w:pPr>
      <w:r>
        <w:rPr>
          <w:rFonts w:hint="eastAsia" w:ascii="宋体" w:hAnsi="宋体"/>
          <w:sz w:val="24"/>
          <w:szCs w:val="28"/>
        </w:rPr>
        <w:t>实现仿真系统产生单个业务系统的多个仿真环境或多个业务系统的多个仿真环境（2个及以上），历史版本可以直接启动进行仿真演练，仿真演练过程对生产系统及保护任务无影响。</w:t>
      </w:r>
    </w:p>
    <w:p>
      <w:pPr>
        <w:pStyle w:val="23"/>
        <w:widowControl/>
        <w:numPr>
          <w:ilvl w:val="0"/>
          <w:numId w:val="2"/>
        </w:numPr>
        <w:spacing w:before="100" w:beforeAutospacing="1" w:after="100" w:afterAutospacing="1" w:line="360" w:lineRule="auto"/>
        <w:ind w:firstLineChars="0"/>
        <w:jc w:val="left"/>
        <w:rPr>
          <w:rFonts w:ascii="宋体" w:hAnsi="宋体" w:eastAsia="宋体" w:cs="宋体"/>
          <w:kern w:val="0"/>
          <w:sz w:val="24"/>
        </w:rPr>
      </w:pPr>
      <w:r>
        <w:rPr>
          <w:rFonts w:hint="eastAsia" w:ascii="宋体" w:hAnsi="宋体" w:eastAsia="宋体" w:cs="宋体"/>
          <w:kern w:val="0"/>
          <w:sz w:val="24"/>
        </w:rPr>
        <w:t>能在任意时间点上生成仿真应用环境，能够任意删除仿真系统；仿真系统能够产生任意多个生产业务系统版本，任何版本都可以直接启动进行仿真测试；仿真系统能任意加载其他设备备份的虚拟硬盘文件用于测试；支持从备份快照一键生成原应用生产环境的仿真环境（系统+数据）；平台支持虚拟子网创建；仿真测试虚机支持配置EFI或BIOS启动方式；</w:t>
      </w:r>
    </w:p>
    <w:p>
      <w:pPr>
        <w:pStyle w:val="12"/>
        <w:numPr>
          <w:ilvl w:val="0"/>
          <w:numId w:val="2"/>
        </w:numPr>
        <w:spacing w:line="360" w:lineRule="auto"/>
        <w:ind w:leftChars="0" w:firstLineChars="0"/>
        <w:rPr>
          <w:rFonts w:ascii="宋体" w:hAnsi="宋体"/>
          <w:sz w:val="24"/>
          <w:szCs w:val="28"/>
        </w:rPr>
      </w:pPr>
      <w:r>
        <w:rPr>
          <w:rFonts w:hint="eastAsia" w:ascii="宋体" w:hAnsi="宋体"/>
          <w:sz w:val="24"/>
          <w:szCs w:val="28"/>
        </w:rPr>
        <w:t>实现操作系统备份和异机恢复功能。实现windows，linux，中科方德V4，麒麟 V10 操作系统备份和异机恢复，无需重新部署与配置系统应用环境。</w:t>
      </w:r>
    </w:p>
    <w:p>
      <w:pPr>
        <w:pStyle w:val="23"/>
        <w:widowControl/>
        <w:numPr>
          <w:ilvl w:val="0"/>
          <w:numId w:val="2"/>
        </w:numPr>
        <w:spacing w:before="100" w:beforeAutospacing="1" w:after="100" w:afterAutospacing="1" w:line="360" w:lineRule="auto"/>
        <w:ind w:firstLineChars="0"/>
        <w:jc w:val="left"/>
        <w:rPr>
          <w:rFonts w:ascii="宋体" w:hAnsi="宋体" w:eastAsia="宋体" w:cs="宋体"/>
          <w:kern w:val="0"/>
          <w:sz w:val="24"/>
        </w:rPr>
      </w:pPr>
      <w:r>
        <w:rPr>
          <w:rFonts w:hint="eastAsia" w:ascii="宋体" w:hAnsi="宋体" w:eastAsia="宋体" w:cs="宋体"/>
          <w:kern w:val="0"/>
          <w:sz w:val="24"/>
        </w:rPr>
        <w:t>平台能对机房任何X86业务实现迁移（不接受任何形式的环境重装、重配、数据导入/导出）。支持任意源端和任意目标端的平滑迁移（不同物理品牌、不同虚拟平台、不同云环境）。支持业务不停机迁移，迁移完成后保持生产业务数据为最新数据（即与原系统数据一致）。</w:t>
      </w:r>
    </w:p>
    <w:p>
      <w:pPr>
        <w:pStyle w:val="12"/>
        <w:numPr>
          <w:ilvl w:val="0"/>
          <w:numId w:val="2"/>
        </w:numPr>
        <w:spacing w:line="360" w:lineRule="auto"/>
        <w:ind w:leftChars="0" w:firstLineChars="0"/>
        <w:rPr>
          <w:rFonts w:ascii="宋体" w:hAnsi="宋体" w:eastAsia="宋体" w:cs="宋体"/>
          <w:kern w:val="0"/>
          <w:sz w:val="24"/>
        </w:rPr>
      </w:pPr>
      <w:r>
        <w:rPr>
          <w:rFonts w:hint="eastAsia" w:ascii="宋体" w:hAnsi="宋体" w:eastAsia="宋体" w:cs="宋体"/>
          <w:kern w:val="0"/>
          <w:sz w:val="24"/>
        </w:rPr>
        <w:t>可同时兼容备份国产架构服务器和非国产X86 架构服务器，使用与生产环境同架构的国产CPU时可实现业务接管与演练；</w:t>
      </w:r>
      <w:r>
        <w:rPr>
          <w:rFonts w:hint="eastAsia" w:asciiTheme="minorEastAsia" w:hAnsiTheme="minorEastAsia"/>
          <w:sz w:val="24"/>
        </w:rPr>
        <w:t>支持标准Restful开发API，用于其他管理平台集成开发，提供多区域，多系统，多业务集中管控</w:t>
      </w:r>
      <w:r>
        <w:rPr>
          <w:rFonts w:hint="eastAsia" w:ascii="宋体" w:hAnsi="宋体" w:eastAsia="宋体" w:cs="宋体"/>
          <w:kern w:val="0"/>
          <w:sz w:val="24"/>
        </w:rPr>
        <w:t>；windows与Linux客户端安装后无需重启。</w:t>
      </w:r>
    </w:p>
    <w:p>
      <w:pPr>
        <w:pStyle w:val="12"/>
        <w:numPr>
          <w:ilvl w:val="0"/>
          <w:numId w:val="2"/>
        </w:numPr>
        <w:spacing w:line="360" w:lineRule="auto"/>
        <w:ind w:leftChars="0" w:firstLineChars="0"/>
        <w:rPr>
          <w:rFonts w:asciiTheme="minorEastAsia" w:hAnsiTheme="minorEastAsia"/>
          <w:sz w:val="24"/>
        </w:rPr>
      </w:pPr>
      <w:r>
        <w:rPr>
          <w:rFonts w:hint="eastAsia" w:ascii="宋体" w:hAnsi="宋体"/>
          <w:sz w:val="24"/>
          <w:szCs w:val="28"/>
        </w:rPr>
        <w:t>数据一致性验证功能可实现达梦，人大金仓，Oracle，sqlserver，mysql 等数据库（包含MSCS 与 Oracle RAC 环境下数据库）的备份，应急与恢复，应急系统数据库的数据与应急时间点的数据一致，恢复的数据库数据与恢复时间点数据一致。</w:t>
      </w:r>
      <w:r>
        <w:rPr>
          <w:rFonts w:asciiTheme="minorEastAsia" w:hAnsiTheme="minorEastAsia"/>
          <w:sz w:val="24"/>
        </w:rPr>
        <w:t xml:space="preserve"> </w:t>
      </w:r>
    </w:p>
    <w:p>
      <w:pPr>
        <w:pStyle w:val="23"/>
        <w:widowControl/>
        <w:numPr>
          <w:ilvl w:val="0"/>
          <w:numId w:val="2"/>
        </w:numPr>
        <w:spacing w:before="100" w:beforeAutospacing="1" w:after="100" w:afterAutospacing="1" w:line="360" w:lineRule="auto"/>
        <w:ind w:firstLineChars="0"/>
        <w:jc w:val="left"/>
        <w:rPr>
          <w:rFonts w:ascii="宋体" w:hAnsi="宋体" w:eastAsia="宋体" w:cs="宋体"/>
          <w:kern w:val="0"/>
          <w:sz w:val="24"/>
        </w:rPr>
      </w:pPr>
      <w:r>
        <w:rPr>
          <w:rFonts w:hint="eastAsia" w:ascii="宋体" w:hAnsi="宋体" w:eastAsia="宋体" w:cs="宋体"/>
          <w:kern w:val="0"/>
          <w:sz w:val="24"/>
        </w:rPr>
        <w:t>支持USB-key用户身份加强验证，最大限度的确保系统安全；支持https方式登录，确保登录安全；</w:t>
      </w:r>
    </w:p>
    <w:p>
      <w:pPr>
        <w:pStyle w:val="12"/>
        <w:numPr>
          <w:ilvl w:val="0"/>
          <w:numId w:val="2"/>
        </w:numPr>
        <w:spacing w:line="360" w:lineRule="auto"/>
        <w:ind w:leftChars="0" w:firstLineChars="0"/>
        <w:rPr>
          <w:rFonts w:ascii="宋体" w:hAnsi="宋体" w:eastAsia="宋体" w:cs="宋体"/>
          <w:kern w:val="0"/>
          <w:sz w:val="24"/>
        </w:rPr>
      </w:pPr>
      <w:r>
        <w:rPr>
          <w:rFonts w:hint="eastAsia" w:asciiTheme="minorEastAsia" w:hAnsiTheme="minorEastAsia"/>
          <w:sz w:val="24"/>
        </w:rPr>
        <w:t>软件提供自动化备份巡检功能，可自定义巡检风险等级，可选择保留巡检记录时间。巡检记录自动生成备份巡检报表，备份巡检报表可通过页面导出excel 表本地查看</w:t>
      </w:r>
      <w:r>
        <w:rPr>
          <w:rFonts w:hint="eastAsia" w:ascii="宋体" w:hAnsi="宋体" w:eastAsia="宋体" w:cs="宋体"/>
          <w:kern w:val="0"/>
          <w:sz w:val="24"/>
        </w:rPr>
        <w:t>。</w:t>
      </w:r>
    </w:p>
    <w:p>
      <w:pPr>
        <w:pStyle w:val="12"/>
        <w:numPr>
          <w:ilvl w:val="0"/>
          <w:numId w:val="2"/>
        </w:numPr>
        <w:spacing w:line="360" w:lineRule="auto"/>
        <w:ind w:leftChars="0" w:firstLineChars="0"/>
        <w:rPr>
          <w:rFonts w:ascii="宋体" w:hAnsi="宋体" w:eastAsia="宋体" w:cs="宋体"/>
          <w:kern w:val="0"/>
          <w:sz w:val="24"/>
        </w:rPr>
      </w:pPr>
      <w:r>
        <w:rPr>
          <w:rFonts w:hint="eastAsia" w:ascii="宋体" w:hAnsi="宋体" w:eastAsia="宋体" w:cs="宋体"/>
          <w:kern w:val="0"/>
          <w:sz w:val="24"/>
        </w:rPr>
        <w:t>平台能够对本单位所有X86业务系统（包含所有数据，操作系统、应用，配置、密钥等）实现虚拟化存档封装，支持现有主流虚拟机格式存档。归档后应用环境可随时启动、运行、数据查询、导出等。</w:t>
      </w:r>
    </w:p>
    <w:p>
      <w:pPr>
        <w:pStyle w:val="12"/>
        <w:numPr>
          <w:ilvl w:val="0"/>
          <w:numId w:val="2"/>
        </w:numPr>
        <w:spacing w:line="360" w:lineRule="auto"/>
        <w:ind w:leftChars="0" w:firstLineChars="0"/>
        <w:rPr>
          <w:rFonts w:asciiTheme="minorEastAsia" w:hAnsiTheme="minorEastAsia"/>
          <w:sz w:val="24"/>
        </w:rPr>
      </w:pPr>
      <w:r>
        <w:rPr>
          <w:rFonts w:hint="eastAsia" w:asciiTheme="minorEastAsia" w:hAnsiTheme="minorEastAsia"/>
          <w:sz w:val="24"/>
        </w:rPr>
        <w:t>支持设备列表内设备分组的批量操作功能，支持备份策略批量下发，提供对整组设备进行备份策略设置、备份操作（启动、暂停）、快照、校验等批量操作功能；客户端支持批量下发安装；</w:t>
      </w:r>
      <w:r>
        <w:rPr>
          <w:rFonts w:asciiTheme="minorEastAsia" w:hAnsiTheme="minorEastAsia"/>
          <w:sz w:val="24"/>
        </w:rPr>
        <w:t xml:space="preserve"> </w:t>
      </w:r>
    </w:p>
    <w:p>
      <w:pPr>
        <w:pStyle w:val="23"/>
        <w:widowControl/>
        <w:numPr>
          <w:numId w:val="0"/>
        </w:numPr>
        <w:spacing w:before="100" w:beforeAutospacing="1" w:after="100" w:afterAutospacing="1" w:line="360" w:lineRule="auto"/>
        <w:ind w:leftChars="0"/>
        <w:jc w:val="left"/>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二</w:t>
      </w:r>
      <w:bookmarkStart w:id="0" w:name="_GoBack"/>
      <w:bookmarkEnd w:id="0"/>
      <w:r>
        <w:rPr>
          <w:rFonts w:hint="eastAsia" w:ascii="宋体" w:hAnsi="宋体" w:eastAsia="宋体" w:cs="宋体"/>
          <w:kern w:val="0"/>
          <w:sz w:val="24"/>
          <w:lang w:val="en-US" w:eastAsia="zh-CN"/>
        </w:rPr>
        <w:t>、商务要求：</w:t>
      </w:r>
    </w:p>
    <w:p>
      <w:pPr>
        <w:pStyle w:val="23"/>
        <w:widowControl/>
        <w:numPr>
          <w:ilvl w:val="0"/>
          <w:numId w:val="3"/>
        </w:numPr>
        <w:spacing w:before="100" w:beforeAutospacing="1" w:after="100" w:afterAutospacing="1" w:line="360" w:lineRule="auto"/>
        <w:ind w:firstLineChars="0"/>
        <w:jc w:val="left"/>
        <w:rPr>
          <w:rFonts w:hint="eastAsia" w:ascii="宋体" w:hAnsi="宋体" w:eastAsia="宋体" w:cs="宋体"/>
          <w:kern w:val="0"/>
          <w:sz w:val="24"/>
        </w:rPr>
      </w:pPr>
      <w:r>
        <w:rPr>
          <w:rFonts w:hint="eastAsia" w:ascii="宋体" w:hAnsi="宋体" w:eastAsia="宋体" w:cs="宋体"/>
          <w:kern w:val="0"/>
          <w:sz w:val="24"/>
          <w:lang w:val="en-US" w:eastAsia="zh-CN"/>
        </w:rPr>
        <w:t>三年免费质保，供货期合同签订后15天内；</w:t>
      </w:r>
    </w:p>
    <w:p>
      <w:pPr>
        <w:pStyle w:val="23"/>
        <w:widowControl/>
        <w:numPr>
          <w:ilvl w:val="0"/>
          <w:numId w:val="3"/>
        </w:numPr>
        <w:spacing w:before="100" w:beforeAutospacing="1" w:after="100" w:afterAutospacing="1" w:line="360" w:lineRule="auto"/>
        <w:ind w:firstLineChars="0"/>
        <w:jc w:val="left"/>
        <w:rPr>
          <w:rFonts w:hint="eastAsia" w:ascii="宋体" w:hAnsi="宋体" w:eastAsia="宋体" w:cs="宋体"/>
          <w:kern w:val="0"/>
          <w:sz w:val="24"/>
        </w:rPr>
      </w:pPr>
      <w:r>
        <w:rPr>
          <w:rFonts w:hint="eastAsia" w:ascii="宋体" w:hAnsi="宋体" w:eastAsia="宋体" w:cs="宋体"/>
          <w:kern w:val="0"/>
          <w:sz w:val="24"/>
        </w:rPr>
        <w:t>生产厂商具备《云灾备容灾解决方案检验证书》认证证书；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5CAD37"/>
    <w:multiLevelType w:val="multilevel"/>
    <w:tmpl w:val="B15CAD37"/>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suff w:val="nothing"/>
      <w:lvlText w:val="%1.%2.%3."/>
      <w:lvlJc w:val="left"/>
      <w:pPr>
        <w:ind w:left="0" w:firstLine="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2BBB1850"/>
    <w:multiLevelType w:val="multilevel"/>
    <w:tmpl w:val="2BBB1850"/>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4F6100F4"/>
    <w:multiLevelType w:val="multilevel"/>
    <w:tmpl w:val="4F6100F4"/>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E4YWE2NWM2NjkyMzUxOGRkNDNkNjJlMmYxYjJlZDkifQ=="/>
    <w:docVar w:name="KSO_WPS_MARK_KEY" w:val="39089d96-5360-48ff-88b9-f8dda9b11a2a"/>
  </w:docVars>
  <w:rsids>
    <w:rsidRoot w:val="003371FE"/>
    <w:rsid w:val="00026D72"/>
    <w:rsid w:val="00030669"/>
    <w:rsid w:val="000544B8"/>
    <w:rsid w:val="000A1290"/>
    <w:rsid w:val="000F01A3"/>
    <w:rsid w:val="000F45D5"/>
    <w:rsid w:val="00132B6E"/>
    <w:rsid w:val="001D1D5F"/>
    <w:rsid w:val="00274A86"/>
    <w:rsid w:val="002C641E"/>
    <w:rsid w:val="002E1067"/>
    <w:rsid w:val="003371FE"/>
    <w:rsid w:val="003C058F"/>
    <w:rsid w:val="003C074A"/>
    <w:rsid w:val="003C6F9C"/>
    <w:rsid w:val="003D24C5"/>
    <w:rsid w:val="003E4056"/>
    <w:rsid w:val="003F6614"/>
    <w:rsid w:val="00431E98"/>
    <w:rsid w:val="004501E3"/>
    <w:rsid w:val="00454BD9"/>
    <w:rsid w:val="004663D0"/>
    <w:rsid w:val="00472162"/>
    <w:rsid w:val="004921CC"/>
    <w:rsid w:val="0049677E"/>
    <w:rsid w:val="004C05D1"/>
    <w:rsid w:val="0053622C"/>
    <w:rsid w:val="0057154B"/>
    <w:rsid w:val="005B7875"/>
    <w:rsid w:val="005D4F6E"/>
    <w:rsid w:val="005E0C9E"/>
    <w:rsid w:val="005E42F9"/>
    <w:rsid w:val="006077F3"/>
    <w:rsid w:val="00611C2E"/>
    <w:rsid w:val="00616372"/>
    <w:rsid w:val="00650773"/>
    <w:rsid w:val="006513FE"/>
    <w:rsid w:val="00651CDB"/>
    <w:rsid w:val="00694B59"/>
    <w:rsid w:val="00696492"/>
    <w:rsid w:val="006A5CB9"/>
    <w:rsid w:val="006F356E"/>
    <w:rsid w:val="00706DCF"/>
    <w:rsid w:val="00707872"/>
    <w:rsid w:val="0074650A"/>
    <w:rsid w:val="0076031C"/>
    <w:rsid w:val="00785CD0"/>
    <w:rsid w:val="00792453"/>
    <w:rsid w:val="007B0B48"/>
    <w:rsid w:val="007C739D"/>
    <w:rsid w:val="008B1ED2"/>
    <w:rsid w:val="008C59C1"/>
    <w:rsid w:val="008C77EE"/>
    <w:rsid w:val="008D0CC1"/>
    <w:rsid w:val="008D1A81"/>
    <w:rsid w:val="008E265B"/>
    <w:rsid w:val="009221ED"/>
    <w:rsid w:val="0094167E"/>
    <w:rsid w:val="00976459"/>
    <w:rsid w:val="00977549"/>
    <w:rsid w:val="009C0C63"/>
    <w:rsid w:val="009D0165"/>
    <w:rsid w:val="009D332E"/>
    <w:rsid w:val="009F4873"/>
    <w:rsid w:val="00A04891"/>
    <w:rsid w:val="00A15D61"/>
    <w:rsid w:val="00A218CF"/>
    <w:rsid w:val="00A43FB8"/>
    <w:rsid w:val="00A44490"/>
    <w:rsid w:val="00AA7211"/>
    <w:rsid w:val="00AE0756"/>
    <w:rsid w:val="00AF665A"/>
    <w:rsid w:val="00B0684A"/>
    <w:rsid w:val="00B35CC0"/>
    <w:rsid w:val="00B56B30"/>
    <w:rsid w:val="00BE10D6"/>
    <w:rsid w:val="00BE6860"/>
    <w:rsid w:val="00C0786B"/>
    <w:rsid w:val="00C17A96"/>
    <w:rsid w:val="00C3718D"/>
    <w:rsid w:val="00C65DA1"/>
    <w:rsid w:val="00CB488F"/>
    <w:rsid w:val="00CF0494"/>
    <w:rsid w:val="00D04B22"/>
    <w:rsid w:val="00D06CBD"/>
    <w:rsid w:val="00D2187D"/>
    <w:rsid w:val="00D337D1"/>
    <w:rsid w:val="00DF2C3C"/>
    <w:rsid w:val="00E1799E"/>
    <w:rsid w:val="00E33128"/>
    <w:rsid w:val="00E6692A"/>
    <w:rsid w:val="00E72539"/>
    <w:rsid w:val="00EA7B88"/>
    <w:rsid w:val="00EC3B68"/>
    <w:rsid w:val="00ED046C"/>
    <w:rsid w:val="00ED17A4"/>
    <w:rsid w:val="00EE239B"/>
    <w:rsid w:val="00F247DC"/>
    <w:rsid w:val="00F33474"/>
    <w:rsid w:val="00F422D4"/>
    <w:rsid w:val="00F76818"/>
    <w:rsid w:val="00FB3BB8"/>
    <w:rsid w:val="00FF3144"/>
    <w:rsid w:val="19C67067"/>
    <w:rsid w:val="28F50B03"/>
    <w:rsid w:val="54D7378E"/>
    <w:rsid w:val="5E813C0D"/>
    <w:rsid w:val="69C41894"/>
    <w:rsid w:val="7F9D0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6"/>
    <w:qFormat/>
    <w:uiPriority w:val="0"/>
    <w:pPr>
      <w:keepNext/>
      <w:keepLines/>
      <w:numPr>
        <w:ilvl w:val="0"/>
        <w:numId w:val="1"/>
      </w:numPr>
      <w:jc w:val="center"/>
      <w:outlineLvl w:val="0"/>
    </w:pPr>
    <w:rPr>
      <w:b/>
      <w:kern w:val="44"/>
      <w:sz w:val="32"/>
    </w:rPr>
  </w:style>
  <w:style w:type="paragraph" w:styleId="3">
    <w:name w:val="heading 2"/>
    <w:basedOn w:val="1"/>
    <w:next w:val="1"/>
    <w:link w:val="17"/>
    <w:unhideWhenUsed/>
    <w:qFormat/>
    <w:uiPriority w:val="0"/>
    <w:pPr>
      <w:keepNext/>
      <w:keepLines/>
      <w:numPr>
        <w:ilvl w:val="1"/>
        <w:numId w:val="1"/>
      </w:numPr>
      <w:jc w:val="center"/>
      <w:outlineLvl w:val="1"/>
    </w:pPr>
    <w:rPr>
      <w:rFonts w:ascii="Arial" w:hAnsi="Arial"/>
      <w:b/>
      <w:sz w:val="30"/>
    </w:rPr>
  </w:style>
  <w:style w:type="paragraph" w:styleId="4">
    <w:name w:val="heading 3"/>
    <w:basedOn w:val="1"/>
    <w:next w:val="1"/>
    <w:link w:val="18"/>
    <w:unhideWhenUsed/>
    <w:qFormat/>
    <w:uiPriority w:val="0"/>
    <w:pPr>
      <w:keepNext/>
      <w:keepLines/>
      <w:numPr>
        <w:ilvl w:val="2"/>
        <w:numId w:val="1"/>
      </w:numPr>
      <w:jc w:val="left"/>
      <w:outlineLvl w:val="2"/>
    </w:pPr>
    <w:rPr>
      <w:b/>
      <w:sz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0"/>
    <w:pPr>
      <w:spacing w:line="380" w:lineRule="exact"/>
    </w:pPr>
    <w:rPr>
      <w:sz w:val="24"/>
    </w:rPr>
  </w:style>
  <w:style w:type="paragraph" w:styleId="6">
    <w:name w:val="Body Text Indent"/>
    <w:basedOn w:val="1"/>
    <w:link w:val="19"/>
    <w:semiHidden/>
    <w:unhideWhenUsed/>
    <w:qFormat/>
    <w:uiPriority w:val="99"/>
    <w:pPr>
      <w:spacing w:after="120"/>
      <w:ind w:left="420" w:leftChars="200"/>
    </w:pPr>
  </w:style>
  <w:style w:type="paragraph" w:styleId="7">
    <w:name w:val="footer"/>
    <w:basedOn w:val="1"/>
    <w:link w:val="26"/>
    <w:qFormat/>
    <w:uiPriority w:val="0"/>
    <w:pPr>
      <w:tabs>
        <w:tab w:val="center" w:pos="4153"/>
        <w:tab w:val="right" w:pos="8306"/>
      </w:tabs>
      <w:snapToGrid w:val="0"/>
      <w:jc w:val="left"/>
    </w:pPr>
    <w:rPr>
      <w:sz w:val="18"/>
      <w:szCs w:val="18"/>
    </w:rPr>
  </w:style>
  <w:style w:type="paragraph" w:styleId="8">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9">
    <w:name w:val="toc 2"/>
    <w:basedOn w:val="1"/>
    <w:next w:val="1"/>
    <w:qFormat/>
    <w:uiPriority w:val="39"/>
    <w:pPr>
      <w:ind w:left="420" w:leftChars="200"/>
    </w:p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Title"/>
    <w:basedOn w:val="1"/>
    <w:link w:val="22"/>
    <w:qFormat/>
    <w:uiPriority w:val="0"/>
    <w:pPr>
      <w:spacing w:before="240" w:after="60"/>
      <w:jc w:val="center"/>
      <w:outlineLvl w:val="0"/>
    </w:pPr>
    <w:rPr>
      <w:rFonts w:ascii="Cambria" w:hAnsi="Cambria"/>
      <w:b/>
      <w:bCs/>
      <w:sz w:val="32"/>
      <w:szCs w:val="32"/>
    </w:rPr>
  </w:style>
  <w:style w:type="paragraph" w:styleId="12">
    <w:name w:val="Body Text First Indent 2"/>
    <w:basedOn w:val="6"/>
    <w:link w:val="20"/>
    <w:qFormat/>
    <w:uiPriority w:val="0"/>
    <w:pPr>
      <w:ind w:firstLine="420" w:firstLineChars="200"/>
    </w:pPr>
  </w:style>
  <w:style w:type="character" w:styleId="15">
    <w:name w:val="Strong"/>
    <w:basedOn w:val="14"/>
    <w:qFormat/>
    <w:uiPriority w:val="0"/>
    <w:rPr>
      <w:b/>
    </w:rPr>
  </w:style>
  <w:style w:type="character" w:customStyle="1" w:styleId="16">
    <w:name w:val="标题 1 字符"/>
    <w:basedOn w:val="14"/>
    <w:link w:val="2"/>
    <w:qFormat/>
    <w:uiPriority w:val="0"/>
    <w:rPr>
      <w:b/>
      <w:kern w:val="44"/>
      <w:sz w:val="32"/>
      <w:szCs w:val="24"/>
    </w:rPr>
  </w:style>
  <w:style w:type="character" w:customStyle="1" w:styleId="17">
    <w:name w:val="标题 2 字符"/>
    <w:basedOn w:val="14"/>
    <w:link w:val="3"/>
    <w:qFormat/>
    <w:uiPriority w:val="0"/>
    <w:rPr>
      <w:rFonts w:ascii="Arial" w:hAnsi="Arial"/>
      <w:b/>
      <w:sz w:val="30"/>
      <w:szCs w:val="24"/>
    </w:rPr>
  </w:style>
  <w:style w:type="character" w:customStyle="1" w:styleId="18">
    <w:name w:val="标题 3 字符"/>
    <w:basedOn w:val="14"/>
    <w:link w:val="4"/>
    <w:qFormat/>
    <w:uiPriority w:val="0"/>
    <w:rPr>
      <w:b/>
      <w:sz w:val="28"/>
      <w:szCs w:val="24"/>
    </w:rPr>
  </w:style>
  <w:style w:type="character" w:customStyle="1" w:styleId="19">
    <w:name w:val="正文文本缩进 字符"/>
    <w:basedOn w:val="14"/>
    <w:link w:val="6"/>
    <w:semiHidden/>
    <w:qFormat/>
    <w:uiPriority w:val="99"/>
    <w:rPr>
      <w:szCs w:val="24"/>
    </w:rPr>
  </w:style>
  <w:style w:type="character" w:customStyle="1" w:styleId="20">
    <w:name w:val="正文文本首行缩进 2 字符"/>
    <w:basedOn w:val="19"/>
    <w:link w:val="12"/>
    <w:qFormat/>
    <w:uiPriority w:val="0"/>
    <w:rPr>
      <w:szCs w:val="24"/>
    </w:rPr>
  </w:style>
  <w:style w:type="character" w:customStyle="1" w:styleId="21">
    <w:name w:val="正文文本 字符"/>
    <w:basedOn w:val="14"/>
    <w:link w:val="5"/>
    <w:qFormat/>
    <w:uiPriority w:val="0"/>
    <w:rPr>
      <w:sz w:val="24"/>
      <w:szCs w:val="24"/>
    </w:rPr>
  </w:style>
  <w:style w:type="character" w:customStyle="1" w:styleId="22">
    <w:name w:val="标题 字符"/>
    <w:basedOn w:val="14"/>
    <w:link w:val="11"/>
    <w:qFormat/>
    <w:uiPriority w:val="0"/>
    <w:rPr>
      <w:rFonts w:ascii="Cambria" w:hAnsi="Cambria"/>
      <w:b/>
      <w:bCs/>
      <w:sz w:val="32"/>
      <w:szCs w:val="32"/>
    </w:rPr>
  </w:style>
  <w:style w:type="paragraph" w:styleId="23">
    <w:name w:val="List Paragraph"/>
    <w:basedOn w:val="1"/>
    <w:qFormat/>
    <w:uiPriority w:val="34"/>
    <w:pPr>
      <w:ind w:firstLine="420" w:firstLineChars="200"/>
    </w:pPr>
  </w:style>
  <w:style w:type="table" w:customStyle="1" w:styleId="24">
    <w:name w:val="网格型1"/>
    <w:basedOn w:val="1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
    <w:name w:val="页眉 字符"/>
    <w:basedOn w:val="14"/>
    <w:link w:val="8"/>
    <w:qFormat/>
    <w:uiPriority w:val="0"/>
    <w:rPr>
      <w:sz w:val="18"/>
      <w:szCs w:val="18"/>
    </w:rPr>
  </w:style>
  <w:style w:type="character" w:customStyle="1" w:styleId="26">
    <w:name w:val="页脚 字符"/>
    <w:basedOn w:val="14"/>
    <w:link w:val="7"/>
    <w:qFormat/>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1670</Words>
  <Characters>1814</Characters>
  <Lines>13</Lines>
  <Paragraphs>3</Paragraphs>
  <TotalTime>170</TotalTime>
  <ScaleCrop>false</ScaleCrop>
  <LinksUpToDate>false</LinksUpToDate>
  <CharactersWithSpaces>1882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2022-02-21T07:32:00Z</dcterms:created>
  <dc:creator>Jansion MC</dc:creator>
  <cp:lastModifiedBy>郑怀宇</cp:lastModifiedBy>
  <dcterms:modified xsi:type="dcterms:W3CDTF">2024-01-02T14:32:53Z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29A44E3565064496995395C66AE58D99</vt:lpwstr>
  </property>
</Properties>
</file>