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32"/>
          <w:szCs w:val="36"/>
        </w:rPr>
      </w:pPr>
      <w:bookmarkStart w:id="4" w:name="_GoBack"/>
      <w:bookmarkEnd w:id="4"/>
      <w:r>
        <w:rPr>
          <w:rFonts w:ascii="Times New Roman" w:hAnsi="Times New Roman" w:eastAsia="宋体" w:cs="Times New Roman"/>
          <w:b/>
          <w:sz w:val="32"/>
          <w:szCs w:val="36"/>
        </w:rPr>
        <w:t>小动物形神共调训练系统研发参数及需求</w:t>
      </w:r>
    </w:p>
    <w:p>
      <w:pPr>
        <w:spacing w:line="440" w:lineRule="exac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一、研发参数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*1. 硬件装置：换气设施，温度、湿度可控可测，氨气浓度可测，整体可拆卸方便清理，顶部安装摄像头，捕捉实验动物运动轨迹；光照强度可调：范围5lx-20lx。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 调形装置：40cm*16.5cm*17cm，带有1个自主活动轮（直径15cm，能记录小动物运动参数）。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 调神装置：大小90cm*75cm*50cm；四周墙壁为弧形，拐角处圆润，无自主活动轮，带有积木（7个，形状颜色各不相同，大小接近50mm*50mm*50mm的正方体）、躲避洞（长400mm，宽150mm，高80mm的圆弧样树洞）及管道（直径80mm，长度400mm，材质柔软可弯曲）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 形神共调装置：大小90cm*75cm*50cm；带有一个自主活动轮，四周墙壁为弧形，拐角处圆润，带有一个自主活动轮（直径15cm，需要能记录运动参数），带有积木（7个，形状颜色各不相同，大小接近50mm*50mm*50mm的正方体）、躲避洞（长400mm，宽150mm，高80mm的圆弧样树洞）及管道（直径80mm，长度400mm，材质柔软可弯曲）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*5.</w:t>
      </w:r>
      <w:r>
        <w:rPr>
          <w:rFonts w:hint="eastAsia" w:ascii="Times New Roman" w:hAnsi="Times New Roman" w:eastAsia="宋体" w:cs="Times New Roman"/>
          <w:sz w:val="24"/>
          <w:szCs w:val="24"/>
        </w:rPr>
        <w:t>数据管理软件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5.1使用无线数据通讯模式，数据管理采用统一的</w:t>
      </w:r>
      <w:r>
        <w:rPr>
          <w:rFonts w:hint="eastAsia" w:ascii="Times New Roman" w:hAnsi="Times New Roman" w:eastAsia="宋体" w:cs="Times New Roman"/>
          <w:sz w:val="24"/>
          <w:szCs w:val="24"/>
        </w:rPr>
        <w:t>数据管理软件</w:t>
      </w:r>
      <w:r>
        <w:rPr>
          <w:rFonts w:ascii="Times New Roman" w:hAnsi="Times New Roman" w:eastAsia="宋体" w:cs="Times New Roman"/>
          <w:sz w:val="24"/>
          <w:szCs w:val="24"/>
        </w:rPr>
        <w:t>，数据管理平台的权限和LOGO支持定制需求调整。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5.2 软件控制指标：鼠笼内环境状态、换气开关、系统设置、设备自检、预设温度湿度，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可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用于鼠笼的监测、管理和数据处理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。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5.3 软件</w:t>
      </w:r>
      <w:r>
        <w:rPr>
          <w:rFonts w:ascii="Times New Roman" w:hAnsi="Times New Roman" w:eastAsia="宋体" w:cs="Times New Roman"/>
          <w:sz w:val="24"/>
          <w:szCs w:val="24"/>
        </w:rPr>
        <w:t>具有</w:t>
      </w:r>
      <w:r>
        <w:rPr>
          <w:rFonts w:hint="eastAsia" w:ascii="Times New Roman" w:hAnsi="Times New Roman" w:eastAsia="宋体" w:cs="Times New Roman"/>
          <w:sz w:val="24"/>
          <w:szCs w:val="24"/>
        </w:rPr>
        <w:t>可</w:t>
      </w:r>
      <w:r>
        <w:rPr>
          <w:rFonts w:ascii="Times New Roman" w:hAnsi="Times New Roman" w:eastAsia="宋体" w:cs="Times New Roman"/>
          <w:sz w:val="24"/>
          <w:szCs w:val="24"/>
        </w:rPr>
        <w:t>拓展功能</w:t>
      </w:r>
      <w:r>
        <w:rPr>
          <w:rFonts w:hint="eastAsia" w:ascii="Times New Roman" w:hAnsi="Times New Roman" w:eastAsia="宋体" w:cs="Times New Roman"/>
          <w:sz w:val="24"/>
          <w:szCs w:val="24"/>
        </w:rPr>
        <w:t>，可</w:t>
      </w:r>
      <w:r>
        <w:rPr>
          <w:rFonts w:ascii="Times New Roman" w:hAnsi="Times New Roman" w:eastAsia="宋体" w:cs="Times New Roman"/>
          <w:sz w:val="24"/>
          <w:szCs w:val="24"/>
        </w:rPr>
        <w:t>添加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动物代谢监测系统，疼痛自动分析系统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  <w:szCs w:val="24"/>
        </w:rPr>
        <w:t>6. 自主活动轮功能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6.1</w:t>
      </w:r>
      <w:bookmarkStart w:id="0" w:name="_Toc3661_WPSOffice_Level2"/>
      <w:r>
        <w:rPr>
          <w:rFonts w:ascii="Times New Roman" w:hAnsi="Times New Roman" w:eastAsia="宋体" w:cs="Times New Roman"/>
          <w:sz w:val="24"/>
          <w:szCs w:val="24"/>
        </w:rPr>
        <w:t xml:space="preserve"> 软件参数可调：兼容多种尺寸的笼体，适用不同大小的实验鼠；</w:t>
      </w:r>
      <w:bookmarkEnd w:id="0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1" w:name="_Toc24244_WPSOffice_Level2"/>
      <w:r>
        <w:rPr>
          <w:rFonts w:ascii="Times New Roman" w:hAnsi="Times New Roman" w:eastAsia="宋体" w:cs="Times New Roman"/>
          <w:sz w:val="24"/>
          <w:szCs w:val="24"/>
        </w:rPr>
        <w:t>6.2 多鼠模式：支持多鼠模式，可最多支持16鼠（如需增加可拓展）；</w:t>
      </w:r>
      <w:bookmarkEnd w:id="1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2" w:name="_Toc2567_WPSOffice_Level2"/>
      <w:r>
        <w:rPr>
          <w:rFonts w:ascii="Times New Roman" w:hAnsi="Times New Roman" w:eastAsia="宋体" w:cs="Times New Roman"/>
          <w:sz w:val="24"/>
          <w:szCs w:val="24"/>
        </w:rPr>
        <w:t>6.3 实验时间：最大实验时长1000小时；</w:t>
      </w:r>
      <w:bookmarkEnd w:id="2"/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3" w:name="_Toc14175_WPSOffice_Level2"/>
      <w:r>
        <w:rPr>
          <w:rFonts w:ascii="Times New Roman" w:hAnsi="Times New Roman" w:eastAsia="宋体" w:cs="Times New Roman"/>
          <w:sz w:val="24"/>
          <w:szCs w:val="24"/>
        </w:rPr>
        <w:t>6.4 可具有分组</w:t>
      </w:r>
      <w:bookmarkEnd w:id="3"/>
      <w:r>
        <w:rPr>
          <w:rFonts w:ascii="Times New Roman" w:hAnsi="Times New Roman" w:eastAsia="宋体" w:cs="Times New Roman"/>
          <w:sz w:val="24"/>
          <w:szCs w:val="24"/>
        </w:rPr>
        <w:t>运动，时间实际，转动时间，圈数，总圈数，路程，总路程等模块。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 传感器参数</w:t>
      </w:r>
    </w:p>
    <w:p>
      <w:pPr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氨气检测范围：0-500ppm；温度-40</w:t>
      </w:r>
      <w:r>
        <w:rPr>
          <w:rFonts w:hint="eastAsia" w:ascii="宋体" w:hAnsi="宋体" w:eastAsia="宋体" w:cs="宋体"/>
          <w:sz w:val="24"/>
          <w:szCs w:val="24"/>
        </w:rPr>
        <w:t>℃</w:t>
      </w:r>
      <w:r>
        <w:rPr>
          <w:rFonts w:ascii="Times New Roman" w:hAnsi="Times New Roman" w:eastAsia="宋体" w:cs="Times New Roman"/>
          <w:sz w:val="24"/>
          <w:szCs w:val="24"/>
        </w:rPr>
        <w:t>~+80</w:t>
      </w:r>
      <w:r>
        <w:rPr>
          <w:rFonts w:hint="eastAsia" w:ascii="宋体" w:hAnsi="宋体" w:eastAsia="宋体" w:cs="宋体"/>
          <w:sz w:val="24"/>
          <w:szCs w:val="24"/>
        </w:rPr>
        <w:t>℃</w:t>
      </w:r>
      <w:r>
        <w:rPr>
          <w:rFonts w:ascii="Times New Roman" w:hAnsi="Times New Roman" w:eastAsia="宋体" w:cs="Times New Roman"/>
          <w:sz w:val="24"/>
          <w:szCs w:val="24"/>
        </w:rPr>
        <w:t>；湿度0~100%RH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pStyle w:val="2"/>
        <w:spacing w:line="440" w:lineRule="exact"/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</w:pPr>
    </w:p>
    <w:p>
      <w:pPr>
        <w:pStyle w:val="2"/>
        <w:spacing w:line="440" w:lineRule="exact"/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  <w:t>二、知识产权要求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1. 本项目所产生的知识产权（专利所有权、软件著作权）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、技术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成果及相关权益归委托方所有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。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被委托方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负责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相关专利、软件著作权申请及获得专利申请号、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软件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登记号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，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并承担所需费用。</w:t>
      </w:r>
    </w:p>
    <w:p>
      <w:pPr>
        <w:pStyle w:val="2"/>
        <w:spacing w:line="44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2. 被委托方应严格尊重委托方的知识产权，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承诺对提供给委托方的技术资料予以保密。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若出现泄露情况，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按照泄密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造成的损失赔偿。</w:t>
      </w:r>
    </w:p>
    <w:p>
      <w:pPr>
        <w:pStyle w:val="2"/>
        <w:spacing w:line="440" w:lineRule="exact"/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  <w:t>三、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bidi="ar-SA"/>
        </w:rPr>
        <w:t>验收</w:t>
      </w:r>
      <w:r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  <w:t>条件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1. 被委托方需向委托方提供1个调形装置，1个调神装置，1个形神共调装置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，1个</w:t>
      </w:r>
      <w:r>
        <w:rPr>
          <w:rFonts w:ascii="Times New Roman" w:hAnsi="Times New Roman" w:eastAsia="宋体" w:cs="Times New Roman"/>
          <w:sz w:val="24"/>
          <w:szCs w:val="24"/>
        </w:rPr>
        <w:t>可扩展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数据管理软件</w:t>
      </w:r>
      <w:r>
        <w:rPr>
          <w:rFonts w:hint="eastAsia" w:ascii="Times New Roman" w:hAnsi="Times New Roman" w:eastAsia="宋体" w:cs="Times New Roman"/>
          <w:sz w:val="24"/>
          <w:szCs w:val="24"/>
        </w:rPr>
        <w:t>及其</w:t>
      </w:r>
      <w:r>
        <w:rPr>
          <w:rFonts w:ascii="Times New Roman" w:hAnsi="Times New Roman" w:eastAsia="宋体" w:cs="Times New Roman"/>
          <w:sz w:val="24"/>
          <w:szCs w:val="24"/>
        </w:rPr>
        <w:t>设计源代码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。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2. 被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委托方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针对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硬件装置和数据管理软件申报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2项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专利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、1项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软件著作权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，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并获得专利申请号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及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软件著作权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登记号。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. 系统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正常运行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1个月无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故障。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同时满足以上3个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 xml:space="preserve">条件，即视为验收通过。 </w:t>
      </w:r>
    </w:p>
    <w:p>
      <w:pPr>
        <w:pStyle w:val="2"/>
        <w:spacing w:line="440" w:lineRule="exact"/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bidi="ar-SA"/>
        </w:rPr>
        <w:t>四</w:t>
      </w:r>
      <w:r>
        <w:rPr>
          <w:rFonts w:ascii="Times New Roman" w:hAnsi="Times New Roman" w:eastAsia="宋体" w:cs="Times New Roman"/>
          <w:b/>
          <w:sz w:val="24"/>
          <w:szCs w:val="24"/>
          <w:lang w:val="en-US" w:bidi="ar-SA"/>
        </w:rPr>
        <w:t>、售后服务</w:t>
      </w:r>
    </w:p>
    <w:p>
      <w:pPr>
        <w:pStyle w:val="2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  <w:lang w:val="en-US" w:bidi="ar-SA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质量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保证期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壹年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质保期从验收合格之日起计算。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在质保期内，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被委托方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须负责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硬件设施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免费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保修工作，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并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按照委托方需求对软件进行</w:t>
      </w:r>
      <w:r>
        <w:rPr>
          <w:rFonts w:hint="eastAsia" w:ascii="Times New Roman" w:hAnsi="Times New Roman" w:eastAsia="宋体" w:cs="Times New Roman"/>
          <w:sz w:val="24"/>
          <w:szCs w:val="24"/>
          <w:lang w:val="en-US" w:bidi="ar-SA"/>
        </w:rPr>
        <w:t>升级</w:t>
      </w: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w:t>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0F"/>
    <w:rsid w:val="000010C2"/>
    <w:rsid w:val="00111A99"/>
    <w:rsid w:val="0011645B"/>
    <w:rsid w:val="00165DA8"/>
    <w:rsid w:val="00177456"/>
    <w:rsid w:val="00236F83"/>
    <w:rsid w:val="00263A3C"/>
    <w:rsid w:val="00291C43"/>
    <w:rsid w:val="003C0580"/>
    <w:rsid w:val="00407DC2"/>
    <w:rsid w:val="00492815"/>
    <w:rsid w:val="004F28DF"/>
    <w:rsid w:val="00522A6D"/>
    <w:rsid w:val="005F7A08"/>
    <w:rsid w:val="00607367"/>
    <w:rsid w:val="006165F8"/>
    <w:rsid w:val="00635FB8"/>
    <w:rsid w:val="006713DC"/>
    <w:rsid w:val="006B2956"/>
    <w:rsid w:val="00711150"/>
    <w:rsid w:val="007B11D9"/>
    <w:rsid w:val="00851CC1"/>
    <w:rsid w:val="0087010F"/>
    <w:rsid w:val="008871E2"/>
    <w:rsid w:val="008C1BB7"/>
    <w:rsid w:val="009569F6"/>
    <w:rsid w:val="009E0B00"/>
    <w:rsid w:val="009E2CD4"/>
    <w:rsid w:val="009E75D7"/>
    <w:rsid w:val="00A368E3"/>
    <w:rsid w:val="00A83A7A"/>
    <w:rsid w:val="00A917CF"/>
    <w:rsid w:val="00AA67C1"/>
    <w:rsid w:val="00AB28C7"/>
    <w:rsid w:val="00AD31B3"/>
    <w:rsid w:val="00AE0D57"/>
    <w:rsid w:val="00AE18EC"/>
    <w:rsid w:val="00AF74F9"/>
    <w:rsid w:val="00B2259B"/>
    <w:rsid w:val="00B25249"/>
    <w:rsid w:val="00B40BF0"/>
    <w:rsid w:val="00B94FED"/>
    <w:rsid w:val="00BE7E3D"/>
    <w:rsid w:val="00C42395"/>
    <w:rsid w:val="00D248A1"/>
    <w:rsid w:val="00DC7564"/>
    <w:rsid w:val="00DF59D7"/>
    <w:rsid w:val="00EF0AD9"/>
    <w:rsid w:val="00F033BB"/>
    <w:rsid w:val="05DB69BC"/>
    <w:rsid w:val="0E6059EA"/>
    <w:rsid w:val="11FB193D"/>
    <w:rsid w:val="1B326EA2"/>
    <w:rsid w:val="40C751BA"/>
    <w:rsid w:val="5F306405"/>
    <w:rsid w:val="5F912862"/>
    <w:rsid w:val="69637BB1"/>
    <w:rsid w:val="6D78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1004</Words>
  <Characters>1174</Characters>
  <Lines>46</Lines>
  <Paragraphs>27</Paragraphs>
  <TotalTime>661</TotalTime>
  <ScaleCrop>false</ScaleCrop>
  <LinksUpToDate>false</LinksUpToDate>
  <CharactersWithSpaces>1192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2022-04-24T07:30:00Z</dcterms:created>
  <dc:creator>ASUS</dc:creator>
  <cp:lastModifiedBy>不哭</cp:lastModifiedBy>
  <cp:lastPrinted>2022-05-09T02:45:00Z</cp:lastPrinted>
  <dcterms:modified xsi:type="dcterms:W3CDTF">2022-05-09T07:07:53Z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eyJoZGlkIjoiNDQyMTBjNTNjMmIyZGVkNWIzZDUzZDhmYTcwY2I4ZjEifQ==</vt:lpwstr>
  </property>
  <property fmtid="{D5CDD505-2E9C-101B-9397-08002B2CF9AE}" pid="3" name="KSOProductBuildVer">
    <vt:lpwstr>2052-11.1.0.11636</vt:lpwstr>
  </property>
  <property fmtid="{D5CDD505-2E9C-101B-9397-08002B2CF9AE}" pid="4" name="ICV">
    <vt:lpwstr>E4445D849EF24DBAB9FD699BD426A5ED</vt:lpwstr>
  </property>
</Properties>
</file>