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关于福建中医药大学2021年招生章程</w:t>
      </w: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的修</w:t>
      </w:r>
      <w:r>
        <w:rPr>
          <w:rFonts w:hint="eastAsia"/>
          <w:sz w:val="44"/>
          <w:szCs w:val="44"/>
          <w:lang w:eastAsia="zh-CN"/>
        </w:rPr>
        <w:t>订</w:t>
      </w:r>
      <w:r>
        <w:rPr>
          <w:rFonts w:hint="eastAsia"/>
          <w:sz w:val="44"/>
          <w:szCs w:val="44"/>
        </w:rPr>
        <w:t>说明</w:t>
      </w:r>
    </w:p>
    <w:p>
      <w:pPr>
        <w:jc w:val="both"/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根据《福建省教育厅 福建省发展和改革委员会关于下达2021年福建省普通高等教育分校分专业招生计划的通知》（闽教发〔2021〕27号）的要求，经学校本科生招生委员会领导小组审议通过，现对《福建中医药大学2021年招生章程》进行修订，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1、第四点“学校名称及学历学位证书种类”中“临床医学专业（定向县级医院）毕业生的本科毕业证书内页中加注‘定向县级医院’”，调整为“定向县级医院培养计划毕业生的毕业证书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按照上级主管部门相关文件执行</w:t>
      </w:r>
      <w:r>
        <w:rPr>
          <w:rFonts w:hint="eastAsia" w:ascii="仿宋" w:hAnsi="仿宋" w:eastAsia="仿宋" w:cs="仿宋"/>
          <w:bCs/>
          <w:sz w:val="32"/>
          <w:szCs w:val="32"/>
        </w:rPr>
        <w:t>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2、第十点“分省分专业计划”中“4.临床医学专业（定向县级医院）相关事项按照上级主管部门相关文件执行”，调整为“4.定向县级医院培养计划的相关事项按照上级主管部门相关文件执行”。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3、增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加</w:t>
      </w:r>
      <w:r>
        <w:rPr>
          <w:rFonts w:hint="eastAsia" w:ascii="仿宋" w:hAnsi="仿宋" w:eastAsia="仿宋" w:cs="仿宋"/>
          <w:bCs/>
          <w:sz w:val="32"/>
          <w:szCs w:val="32"/>
        </w:rPr>
        <w:t>食品科学与工程专业普通招生项目的收费标准为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5040</w:t>
      </w:r>
      <w:r>
        <w:rPr>
          <w:rFonts w:hint="eastAsia" w:ascii="仿宋" w:hAnsi="仿宋" w:eastAsia="仿宋" w:cs="仿宋"/>
          <w:bCs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特此说明。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福建中医药大学招生办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2021年6月17日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8673C"/>
    <w:rsid w:val="7932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