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28" w:firstLineChars="600"/>
        <w:jc w:val="both"/>
        <w:rPr>
          <w:rFonts w:hint="eastAsia"/>
          <w:b/>
          <w:sz w:val="32"/>
          <w:szCs w:val="32"/>
        </w:rPr>
      </w:pPr>
      <w:r>
        <w:rPr>
          <w:rFonts w:hint="eastAsia"/>
          <w:b/>
          <w:sz w:val="32"/>
          <w:szCs w:val="32"/>
        </w:rPr>
        <w:t>福建中医药大学采购询价工作单</w:t>
      </w:r>
    </w:p>
    <w:p>
      <w:pPr>
        <w:pStyle w:val="2"/>
      </w:pPr>
    </w:p>
    <w:p>
      <w:pPr>
        <w:rPr>
          <w:rFonts w:ascii="宋体" w:hAnsi="宋体"/>
          <w:sz w:val="28"/>
          <w:szCs w:val="28"/>
        </w:rPr>
      </w:pPr>
      <w:r>
        <w:rPr>
          <w:rFonts w:hint="eastAsia" w:ascii="宋体" w:hAnsi="宋体"/>
          <w:sz w:val="28"/>
          <w:szCs w:val="28"/>
        </w:rPr>
        <w:t>公司名称（盖章）：</w:t>
      </w:r>
    </w:p>
    <w:tbl>
      <w:tblPr>
        <w:tblStyle w:val="3"/>
        <w:tblW w:w="820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675"/>
        <w:gridCol w:w="1261"/>
        <w:gridCol w:w="1305"/>
        <w:gridCol w:w="145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59" w:type="dxa"/>
            <w:vAlign w:val="center"/>
          </w:tcPr>
          <w:p>
            <w:pPr>
              <w:jc w:val="center"/>
              <w:rPr>
                <w:rFonts w:ascii="宋体" w:hAnsi="宋体"/>
                <w:sz w:val="24"/>
              </w:rPr>
            </w:pPr>
            <w:r>
              <w:rPr>
                <w:rFonts w:hint="eastAsia" w:ascii="宋体" w:hAnsi="宋体"/>
                <w:sz w:val="24"/>
              </w:rPr>
              <w:t>序号</w:t>
            </w:r>
          </w:p>
        </w:tc>
        <w:tc>
          <w:tcPr>
            <w:tcW w:w="1675" w:type="dxa"/>
            <w:vAlign w:val="center"/>
          </w:tcPr>
          <w:p>
            <w:pPr>
              <w:jc w:val="center"/>
              <w:rPr>
                <w:rFonts w:ascii="宋体" w:hAnsi="宋体"/>
                <w:sz w:val="24"/>
              </w:rPr>
            </w:pPr>
            <w:r>
              <w:rPr>
                <w:rFonts w:hint="eastAsia" w:ascii="宋体" w:hAnsi="宋体"/>
                <w:sz w:val="24"/>
              </w:rPr>
              <w:t>服务名称</w:t>
            </w:r>
          </w:p>
        </w:tc>
        <w:tc>
          <w:tcPr>
            <w:tcW w:w="1261" w:type="dxa"/>
            <w:vAlign w:val="center"/>
          </w:tcPr>
          <w:p>
            <w:pPr>
              <w:jc w:val="center"/>
              <w:rPr>
                <w:rFonts w:ascii="宋体" w:hAnsi="宋体"/>
                <w:sz w:val="24"/>
              </w:rPr>
            </w:pPr>
            <w:r>
              <w:rPr>
                <w:rFonts w:hint="eastAsia" w:ascii="宋体" w:hAnsi="宋体"/>
                <w:sz w:val="24"/>
              </w:rPr>
              <w:t>参考型号</w:t>
            </w:r>
          </w:p>
        </w:tc>
        <w:tc>
          <w:tcPr>
            <w:tcW w:w="1305" w:type="dxa"/>
            <w:vAlign w:val="center"/>
          </w:tcPr>
          <w:p>
            <w:pPr>
              <w:jc w:val="center"/>
              <w:rPr>
                <w:rFonts w:ascii="宋体" w:hAnsi="宋体"/>
                <w:sz w:val="24"/>
              </w:rPr>
            </w:pPr>
            <w:r>
              <w:rPr>
                <w:rFonts w:hint="eastAsia" w:ascii="宋体" w:hAnsi="宋体"/>
                <w:sz w:val="24"/>
              </w:rPr>
              <w:t>数量</w:t>
            </w:r>
          </w:p>
        </w:tc>
        <w:tc>
          <w:tcPr>
            <w:tcW w:w="1455" w:type="dxa"/>
            <w:vAlign w:val="center"/>
          </w:tcPr>
          <w:p>
            <w:pPr>
              <w:jc w:val="center"/>
              <w:rPr>
                <w:rFonts w:ascii="宋体" w:hAnsi="宋体"/>
                <w:sz w:val="24"/>
              </w:rPr>
            </w:pPr>
            <w:r>
              <w:rPr>
                <w:rFonts w:hint="eastAsia" w:ascii="宋体" w:hAnsi="宋体"/>
                <w:sz w:val="24"/>
              </w:rPr>
              <w:t>价格</w:t>
            </w:r>
          </w:p>
          <w:p>
            <w:pPr>
              <w:jc w:val="center"/>
              <w:rPr>
                <w:rFonts w:ascii="宋体" w:hAnsi="宋体"/>
                <w:sz w:val="24"/>
              </w:rPr>
            </w:pPr>
            <w:r>
              <w:rPr>
                <w:rFonts w:hint="eastAsia" w:ascii="宋体" w:hAnsi="宋体"/>
                <w:sz w:val="24"/>
              </w:rPr>
              <w:t>（万元）</w:t>
            </w:r>
          </w:p>
        </w:tc>
        <w:tc>
          <w:tcPr>
            <w:tcW w:w="1650" w:type="dxa"/>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59" w:type="dxa"/>
            <w:shd w:val="clear" w:color="auto" w:fill="auto"/>
            <w:vAlign w:val="center"/>
          </w:tcPr>
          <w:p>
            <w:pPr>
              <w:jc w:val="center"/>
              <w:rPr>
                <w:rFonts w:ascii="宋体" w:hAnsi="宋体"/>
                <w:szCs w:val="21"/>
              </w:rPr>
            </w:pPr>
            <w:r>
              <w:rPr>
                <w:rFonts w:hint="eastAsia" w:ascii="宋体" w:hAnsi="宋体"/>
                <w:szCs w:val="21"/>
              </w:rPr>
              <w:t>1</w:t>
            </w:r>
          </w:p>
        </w:tc>
        <w:tc>
          <w:tcPr>
            <w:tcW w:w="1675" w:type="dxa"/>
            <w:shd w:val="clear" w:color="FFFF00" w:fill="auto"/>
            <w:vAlign w:val="center"/>
          </w:tcPr>
          <w:p>
            <w:pPr>
              <w:jc w:val="center"/>
              <w:rPr>
                <w:rFonts w:ascii="宋体" w:hAnsi="宋体"/>
              </w:rPr>
            </w:pPr>
          </w:p>
        </w:tc>
        <w:tc>
          <w:tcPr>
            <w:tcW w:w="1261" w:type="dxa"/>
            <w:shd w:val="clear" w:color="FFFF00" w:fill="auto"/>
            <w:vAlign w:val="center"/>
          </w:tcPr>
          <w:p>
            <w:pPr>
              <w:autoSpaceDN w:val="0"/>
              <w:jc w:val="center"/>
              <w:textAlignment w:val="center"/>
              <w:rPr>
                <w:rFonts w:ascii="宋体" w:hAnsi="宋体"/>
                <w:sz w:val="24"/>
              </w:rPr>
            </w:pPr>
          </w:p>
        </w:tc>
        <w:tc>
          <w:tcPr>
            <w:tcW w:w="1305" w:type="dxa"/>
            <w:shd w:val="clear" w:color="FFFF00" w:fill="auto"/>
            <w:vAlign w:val="center"/>
          </w:tcPr>
          <w:p>
            <w:pPr>
              <w:jc w:val="center"/>
              <w:rPr>
                <w:rFonts w:ascii="宋体" w:hAnsi="宋体"/>
                <w:szCs w:val="21"/>
              </w:rPr>
            </w:pPr>
          </w:p>
        </w:tc>
        <w:tc>
          <w:tcPr>
            <w:tcW w:w="1455" w:type="dxa"/>
            <w:vAlign w:val="center"/>
          </w:tcPr>
          <w:p>
            <w:pPr>
              <w:jc w:val="center"/>
              <w:rPr>
                <w:rFonts w:ascii="宋体" w:hAnsi="宋体"/>
                <w:sz w:val="24"/>
              </w:rPr>
            </w:pPr>
          </w:p>
        </w:tc>
        <w:tc>
          <w:tcPr>
            <w:tcW w:w="1650" w:type="dxa"/>
            <w:vAlign w:val="center"/>
          </w:tcPr>
          <w:p>
            <w:pPr>
              <w:jc w:val="center"/>
              <w:rPr>
                <w:rFonts w:ascii="宋体" w:hAnsi="宋体"/>
                <w:sz w:val="24"/>
              </w:rPr>
            </w:pPr>
            <w:r>
              <w:rPr>
                <w:rFonts w:hint="eastAsia" w:ascii="宋体" w:hAnsi="宋体"/>
                <w:sz w:val="24"/>
              </w:rPr>
              <w:t>功能需求详见附件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59" w:type="dxa"/>
            <w:shd w:val="clear" w:color="auto" w:fill="auto"/>
            <w:vAlign w:val="center"/>
          </w:tcPr>
          <w:p>
            <w:pPr>
              <w:jc w:val="center"/>
              <w:rPr>
                <w:rFonts w:ascii="宋体" w:hAnsi="宋体"/>
                <w:szCs w:val="21"/>
              </w:rPr>
            </w:pPr>
            <w:r>
              <w:rPr>
                <w:rFonts w:hint="eastAsia" w:ascii="宋体" w:hAnsi="宋体"/>
                <w:szCs w:val="21"/>
              </w:rPr>
              <w:t>2</w:t>
            </w:r>
          </w:p>
        </w:tc>
        <w:tc>
          <w:tcPr>
            <w:tcW w:w="1675" w:type="dxa"/>
            <w:shd w:val="clear" w:color="FFFF00" w:fill="auto"/>
            <w:vAlign w:val="center"/>
          </w:tcPr>
          <w:p>
            <w:pPr>
              <w:jc w:val="center"/>
              <w:rPr>
                <w:rFonts w:ascii="宋体" w:hAnsi="宋体"/>
              </w:rPr>
            </w:pPr>
          </w:p>
        </w:tc>
        <w:tc>
          <w:tcPr>
            <w:tcW w:w="1261" w:type="dxa"/>
            <w:shd w:val="clear" w:color="FFFF00" w:fill="auto"/>
            <w:vAlign w:val="center"/>
          </w:tcPr>
          <w:p>
            <w:pPr>
              <w:autoSpaceDN w:val="0"/>
              <w:jc w:val="center"/>
              <w:textAlignment w:val="center"/>
              <w:rPr>
                <w:rFonts w:ascii="宋体" w:hAnsi="宋体"/>
                <w:sz w:val="24"/>
              </w:rPr>
            </w:pPr>
          </w:p>
        </w:tc>
        <w:tc>
          <w:tcPr>
            <w:tcW w:w="1305" w:type="dxa"/>
            <w:shd w:val="clear" w:color="FFFF00" w:fill="auto"/>
            <w:vAlign w:val="center"/>
          </w:tcPr>
          <w:p>
            <w:pPr>
              <w:jc w:val="center"/>
              <w:rPr>
                <w:rFonts w:ascii="宋体" w:hAnsi="宋体"/>
                <w:szCs w:val="21"/>
              </w:rPr>
            </w:pPr>
          </w:p>
        </w:tc>
        <w:tc>
          <w:tcPr>
            <w:tcW w:w="1455" w:type="dxa"/>
            <w:vAlign w:val="center"/>
          </w:tcPr>
          <w:p>
            <w:pPr>
              <w:jc w:val="center"/>
              <w:rPr>
                <w:rFonts w:ascii="宋体" w:hAnsi="宋体"/>
                <w:sz w:val="24"/>
              </w:rPr>
            </w:pPr>
          </w:p>
        </w:tc>
        <w:tc>
          <w:tcPr>
            <w:tcW w:w="1650" w:type="dxa"/>
            <w:vAlign w:val="center"/>
          </w:tcPr>
          <w:p>
            <w:pPr>
              <w:jc w:val="center"/>
              <w:rPr>
                <w:rFonts w:ascii="宋体" w:hAnsi="宋体"/>
                <w:sz w:val="24"/>
              </w:rPr>
            </w:pPr>
            <w:r>
              <w:rPr>
                <w:rFonts w:hint="eastAsia" w:ascii="宋体" w:hAnsi="宋体"/>
                <w:sz w:val="24"/>
              </w:rPr>
              <w:t>功能需求详见附件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100" w:type="dxa"/>
            <w:gridSpan w:val="4"/>
            <w:vAlign w:val="center"/>
          </w:tcPr>
          <w:p>
            <w:pPr>
              <w:jc w:val="center"/>
              <w:rPr>
                <w:rFonts w:ascii="宋体" w:hAnsi="宋体"/>
                <w:sz w:val="24"/>
              </w:rPr>
            </w:pPr>
            <w:r>
              <w:rPr>
                <w:rFonts w:hint="eastAsia" w:ascii="宋体" w:hAnsi="宋体"/>
                <w:sz w:val="24"/>
              </w:rPr>
              <w:t>合  计</w:t>
            </w:r>
          </w:p>
        </w:tc>
        <w:tc>
          <w:tcPr>
            <w:tcW w:w="1455" w:type="dxa"/>
            <w:vAlign w:val="center"/>
          </w:tcPr>
          <w:p>
            <w:pPr>
              <w:jc w:val="center"/>
              <w:rPr>
                <w:rFonts w:ascii="宋体" w:hAnsi="宋体"/>
                <w:sz w:val="24"/>
              </w:rPr>
            </w:pPr>
          </w:p>
        </w:tc>
        <w:tc>
          <w:tcPr>
            <w:tcW w:w="1650" w:type="dxa"/>
            <w:vAlign w:val="center"/>
          </w:tcPr>
          <w:p>
            <w:pPr>
              <w:jc w:val="center"/>
              <w:rPr>
                <w:rFonts w:ascii="宋体" w:hAnsi="宋体"/>
                <w:sz w:val="24"/>
              </w:rPr>
            </w:pPr>
          </w:p>
        </w:tc>
      </w:tr>
    </w:tbl>
    <w:p>
      <w:pPr>
        <w:rPr>
          <w:rFonts w:ascii="宋体" w:hAnsi="宋体"/>
          <w:sz w:val="28"/>
          <w:szCs w:val="28"/>
        </w:rPr>
      </w:pPr>
      <w:r>
        <w:rPr>
          <w:rFonts w:hint="eastAsia" w:ascii="宋体" w:hAnsi="宋体"/>
          <w:sz w:val="28"/>
          <w:szCs w:val="28"/>
        </w:rPr>
        <w:t xml:space="preserve">  联系人：                               联系电话：</w:t>
      </w:r>
    </w:p>
    <w:p>
      <w:pPr>
        <w:spacing w:line="600" w:lineRule="auto"/>
        <w:jc w:val="center"/>
        <w:rPr>
          <w:rFonts w:hint="eastAsia"/>
          <w:b/>
          <w:bCs/>
          <w:sz w:val="36"/>
          <w:szCs w:val="36"/>
          <w:lang w:eastAsia="zh-Hans"/>
        </w:rPr>
      </w:pPr>
    </w:p>
    <w:p>
      <w:pPr>
        <w:jc w:val="center"/>
        <w:rPr>
          <w:rFonts w:hint="eastAsia" w:ascii="隶书" w:eastAsia="隶书"/>
          <w:sz w:val="36"/>
          <w:szCs w:val="32"/>
        </w:rPr>
      </w:pPr>
      <w:r>
        <w:rPr>
          <w:rFonts w:hint="eastAsia" w:ascii="隶书" w:eastAsia="隶书"/>
          <w:sz w:val="36"/>
          <w:szCs w:val="32"/>
        </w:rPr>
        <w:t>技术规格偏离表</w:t>
      </w:r>
    </w:p>
    <w:p>
      <w:pPr>
        <w:jc w:val="both"/>
        <w:rPr>
          <w:rFonts w:ascii="仿宋_GB2312" w:hAnsi="宋体" w:eastAsia="仿宋_GB2312"/>
          <w:sz w:val="24"/>
        </w:rPr>
      </w:pPr>
      <w:r>
        <w:rPr>
          <w:rFonts w:hint="eastAsia" w:ascii="仿宋_GB2312" w:hAnsi="宋体" w:eastAsia="仿宋_GB2312"/>
          <w:sz w:val="24"/>
        </w:rPr>
        <w:t>报价方名称（全称）：</w:t>
      </w:r>
    </w:p>
    <w:tbl>
      <w:tblPr>
        <w:tblStyle w:val="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875"/>
        <w:gridCol w:w="2370"/>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81" w:type="dxa"/>
            <w:vAlign w:val="center"/>
          </w:tcPr>
          <w:p>
            <w:pPr>
              <w:tabs>
                <w:tab w:val="left" w:pos="5355"/>
              </w:tabs>
              <w:spacing w:line="240" w:lineRule="exact"/>
              <w:ind w:right="-17" w:rightChars="-7"/>
              <w:jc w:val="center"/>
              <w:rPr>
                <w:rFonts w:ascii="宋体" w:hAnsi="宋体"/>
                <w:spacing w:val="-10"/>
              </w:rPr>
            </w:pPr>
            <w:r>
              <w:rPr>
                <w:rFonts w:hint="eastAsia" w:ascii="宋体" w:hAnsi="宋体"/>
                <w:spacing w:val="-10"/>
              </w:rPr>
              <w:t>序号</w:t>
            </w:r>
          </w:p>
        </w:tc>
        <w:tc>
          <w:tcPr>
            <w:tcW w:w="1875" w:type="dxa"/>
            <w:vAlign w:val="center"/>
          </w:tcPr>
          <w:p>
            <w:pPr>
              <w:tabs>
                <w:tab w:val="left" w:pos="5355"/>
              </w:tabs>
              <w:spacing w:line="240" w:lineRule="exact"/>
              <w:ind w:right="-17" w:rightChars="-7"/>
              <w:jc w:val="center"/>
              <w:rPr>
                <w:rFonts w:ascii="宋体" w:hAnsi="宋体"/>
                <w:spacing w:val="-10"/>
              </w:rPr>
            </w:pPr>
            <w:r>
              <w:rPr>
                <w:rFonts w:hint="eastAsia" w:ascii="宋体" w:hAnsi="宋体"/>
                <w:spacing w:val="-10"/>
              </w:rPr>
              <w:t>技 术 要 求</w:t>
            </w:r>
          </w:p>
        </w:tc>
        <w:tc>
          <w:tcPr>
            <w:tcW w:w="2370" w:type="dxa"/>
            <w:vAlign w:val="center"/>
          </w:tcPr>
          <w:p>
            <w:pPr>
              <w:tabs>
                <w:tab w:val="left" w:pos="5355"/>
              </w:tabs>
              <w:spacing w:line="240" w:lineRule="exact"/>
              <w:ind w:right="-17" w:rightChars="-7"/>
              <w:jc w:val="center"/>
              <w:rPr>
                <w:rFonts w:ascii="宋体" w:hAnsi="宋体"/>
                <w:spacing w:val="-10"/>
              </w:rPr>
            </w:pPr>
            <w:r>
              <w:rPr>
                <w:rFonts w:hint="eastAsia" w:ascii="宋体" w:hAnsi="宋体"/>
                <w:spacing w:val="-10"/>
              </w:rPr>
              <w:t xml:space="preserve"> 响 应 情 况</w:t>
            </w:r>
          </w:p>
        </w:tc>
        <w:tc>
          <w:tcPr>
            <w:tcW w:w="3319" w:type="dxa"/>
            <w:vAlign w:val="center"/>
          </w:tcPr>
          <w:p>
            <w:pPr>
              <w:tabs>
                <w:tab w:val="left" w:pos="5355"/>
              </w:tabs>
              <w:spacing w:line="240" w:lineRule="exact"/>
              <w:ind w:right="-17" w:rightChars="-7"/>
              <w:jc w:val="center"/>
              <w:rPr>
                <w:rFonts w:ascii="宋体" w:hAnsi="宋体"/>
                <w:spacing w:val="-10"/>
              </w:rPr>
            </w:pPr>
            <w:r>
              <w:rPr>
                <w:rFonts w:hint="eastAsia" w:ascii="宋体" w:hAnsi="宋体"/>
                <w:spacing w:val="-10"/>
              </w:rPr>
              <w:t>偏 离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r>
              <w:rPr>
                <w:rFonts w:hint="eastAsia" w:ascii="仿宋_GB2312" w:hAnsi="宋体" w:eastAsia="仿宋_GB2312"/>
                <w:sz w:val="18"/>
              </w:rPr>
              <w:t>1</w:t>
            </w:r>
          </w:p>
        </w:tc>
        <w:tc>
          <w:tcPr>
            <w:tcW w:w="1875" w:type="dxa"/>
            <w:vAlign w:val="center"/>
          </w:tcPr>
          <w:p>
            <w:pPr>
              <w:jc w:val="center"/>
              <w:rPr>
                <w:rFonts w:ascii="仿宋_GB2312" w:hAnsi="宋体" w:eastAsia="仿宋_GB2312"/>
                <w:sz w:val="18"/>
                <w:u w:val="single"/>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r>
              <w:rPr>
                <w:rFonts w:hint="eastAsia" w:ascii="仿宋_GB2312" w:hAnsi="宋体" w:eastAsia="仿宋_GB2312"/>
                <w:sz w:val="18"/>
              </w:rPr>
              <w:t>2</w:t>
            </w:r>
          </w:p>
        </w:tc>
        <w:tc>
          <w:tcPr>
            <w:tcW w:w="1875" w:type="dxa"/>
            <w:vAlign w:val="center"/>
          </w:tcPr>
          <w:p>
            <w:pPr>
              <w:jc w:val="center"/>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bl>
    <w:p>
      <w:pPr>
        <w:spacing w:line="600" w:lineRule="auto"/>
        <w:jc w:val="center"/>
        <w:rPr>
          <w:rFonts w:hint="eastAsia"/>
          <w:b/>
          <w:bCs/>
          <w:sz w:val="36"/>
          <w:szCs w:val="36"/>
          <w:lang w:eastAsia="zh-Hans"/>
        </w:rPr>
      </w:pPr>
    </w:p>
    <w:p>
      <w:pPr>
        <w:pStyle w:val="2"/>
        <w:rPr>
          <w:rFonts w:hint="eastAsia"/>
          <w:lang w:eastAsia="zh-Hans"/>
        </w:rPr>
      </w:pPr>
    </w:p>
    <w:p>
      <w:pPr>
        <w:spacing w:line="600" w:lineRule="auto"/>
        <w:jc w:val="center"/>
        <w:rPr>
          <w:rFonts w:hint="eastAsia" w:ascii="宋体-简" w:hAnsi="宋体-简" w:eastAsiaTheme="minorEastAsia"/>
          <w:sz w:val="28"/>
          <w:szCs w:val="28"/>
          <w:lang w:val="en-US" w:eastAsia="zh-CN"/>
        </w:rPr>
      </w:pPr>
      <w:r>
        <w:rPr>
          <w:rFonts w:hint="eastAsia"/>
          <w:b/>
          <w:bCs/>
          <w:sz w:val="36"/>
          <w:szCs w:val="36"/>
          <w:lang w:eastAsia="zh-Hans"/>
        </w:rPr>
        <w:t>《中医经典》知识图谱</w:t>
      </w:r>
      <w:r>
        <w:rPr>
          <w:rFonts w:hint="eastAsia"/>
          <w:b/>
          <w:bCs/>
          <w:sz w:val="36"/>
          <w:szCs w:val="36"/>
        </w:rPr>
        <w:t>建设技术服务</w:t>
      </w:r>
      <w:r>
        <w:rPr>
          <w:rFonts w:hint="eastAsia"/>
          <w:b/>
          <w:bCs/>
          <w:sz w:val="36"/>
          <w:szCs w:val="36"/>
          <w:lang w:val="en-US" w:eastAsia="zh-CN"/>
        </w:rPr>
        <w:t>参数</w:t>
      </w:r>
    </w:p>
    <w:p>
      <w:pPr>
        <w:spacing w:before="84" w:beforeLines="20"/>
        <w:ind w:firstLine="560"/>
        <w:rPr>
          <w:rFonts w:ascii="宋体" w:hAnsi="宋体" w:eastAsia="宋体" w:cs="宋体"/>
          <w:sz w:val="28"/>
          <w:szCs w:val="28"/>
        </w:rPr>
      </w:pPr>
      <w:r>
        <w:rPr>
          <w:rFonts w:hint="eastAsia" w:ascii="宋体" w:hAnsi="宋体" w:eastAsia="宋体" w:cs="宋体"/>
          <w:sz w:val="28"/>
          <w:szCs w:val="28"/>
        </w:rPr>
        <w:t>构建课程知识图谱是以数据为支撑、以知识图谱为导向、以智能推荐为中心、以教师为主导、以学生为主体，以信息资源建设和资源应用系统建设为核心，提供给学生良好的自主学习资源和学习环境，激发学生的自主学习热情，探索推动课程体系在线上教学等领域的创新应用，为精准教学、个性化学习、学科知识图谱建设提供支撑保障。</w:t>
      </w:r>
    </w:p>
    <w:p>
      <w:pPr>
        <w:ind w:firstLine="560"/>
        <w:rPr>
          <w:rFonts w:ascii="宋体" w:hAnsi="宋体" w:eastAsia="宋体" w:cs="宋体"/>
          <w:sz w:val="28"/>
          <w:szCs w:val="28"/>
        </w:rPr>
      </w:pPr>
      <w:r>
        <w:rPr>
          <w:rFonts w:hint="eastAsia" w:ascii="宋体" w:hAnsi="宋体" w:eastAsia="宋体" w:cs="宋体"/>
          <w:sz w:val="28"/>
          <w:szCs w:val="28"/>
        </w:rPr>
        <w:t>我院拟建设《中医经典》知识图谱，以知识图谱为核心的知识图谱管理、检测、推荐及监控模块，包括以知识图谱为主线，通过知识图谱形成</w:t>
      </w:r>
      <w:r>
        <w:rPr>
          <w:rFonts w:hint="eastAsia" w:ascii="宋体" w:hAnsi="宋体" w:eastAsia="宋体" w:cs="宋体"/>
          <w:sz w:val="28"/>
          <w:szCs w:val="28"/>
          <w:highlight w:val="none"/>
        </w:rPr>
        <w:t>《</w:t>
      </w:r>
      <w:r>
        <w:rPr>
          <w:rFonts w:ascii="宋体" w:hAnsi="宋体" w:eastAsia="宋体" w:cs="宋体"/>
          <w:sz w:val="28"/>
          <w:szCs w:val="28"/>
          <w:highlight w:val="none"/>
        </w:rPr>
        <w:t>内经</w:t>
      </w:r>
      <w:r>
        <w:rPr>
          <w:rFonts w:hint="eastAsia" w:ascii="宋体" w:hAnsi="宋体" w:eastAsia="宋体" w:cs="宋体"/>
          <w:sz w:val="28"/>
          <w:szCs w:val="28"/>
          <w:highlight w:val="none"/>
          <w:lang w:val="en-US" w:eastAsia="zh-CN"/>
        </w:rPr>
        <w:t>选读</w:t>
      </w:r>
      <w:r>
        <w:rPr>
          <w:rFonts w:hint="eastAsia" w:ascii="宋体" w:hAnsi="宋体" w:eastAsia="宋体" w:cs="宋体"/>
          <w:sz w:val="28"/>
          <w:szCs w:val="28"/>
          <w:highlight w:val="none"/>
        </w:rPr>
        <w:t>》《</w:t>
      </w:r>
      <w:r>
        <w:rPr>
          <w:rFonts w:ascii="宋体" w:hAnsi="宋体" w:eastAsia="宋体" w:cs="宋体"/>
          <w:sz w:val="28"/>
          <w:szCs w:val="28"/>
          <w:highlight w:val="none"/>
        </w:rPr>
        <w:t>伤寒</w:t>
      </w:r>
      <w:r>
        <w:rPr>
          <w:rFonts w:hint="eastAsia" w:ascii="宋体" w:hAnsi="宋体" w:eastAsia="宋体" w:cs="宋体"/>
          <w:sz w:val="28"/>
          <w:szCs w:val="28"/>
          <w:highlight w:val="none"/>
          <w:lang w:val="en-US" w:eastAsia="zh-CN"/>
        </w:rPr>
        <w:t>学</w:t>
      </w:r>
      <w:r>
        <w:rPr>
          <w:rFonts w:hint="eastAsia" w:ascii="宋体" w:hAnsi="宋体" w:eastAsia="宋体" w:cs="宋体"/>
          <w:sz w:val="28"/>
          <w:szCs w:val="28"/>
          <w:highlight w:val="none"/>
        </w:rPr>
        <w:t>》《</w:t>
      </w:r>
      <w:r>
        <w:rPr>
          <w:rFonts w:ascii="宋体" w:hAnsi="宋体" w:eastAsia="宋体" w:cs="宋体"/>
          <w:sz w:val="28"/>
          <w:szCs w:val="28"/>
          <w:highlight w:val="none"/>
        </w:rPr>
        <w:t>金匮要略</w:t>
      </w:r>
      <w:r>
        <w:rPr>
          <w:rFonts w:hint="eastAsia" w:ascii="宋体" w:hAnsi="宋体" w:eastAsia="宋体" w:cs="宋体"/>
          <w:sz w:val="28"/>
          <w:szCs w:val="28"/>
          <w:highlight w:val="none"/>
        </w:rPr>
        <w:t>》《</w:t>
      </w:r>
      <w:r>
        <w:rPr>
          <w:rFonts w:ascii="宋体" w:hAnsi="宋体" w:eastAsia="宋体" w:cs="宋体"/>
          <w:sz w:val="28"/>
          <w:szCs w:val="28"/>
          <w:highlight w:val="none"/>
        </w:rPr>
        <w:t>温病学</w:t>
      </w:r>
      <w:r>
        <w:rPr>
          <w:rFonts w:hint="eastAsia" w:ascii="宋体" w:hAnsi="宋体" w:eastAsia="宋体" w:cs="宋体"/>
          <w:sz w:val="28"/>
          <w:szCs w:val="28"/>
          <w:highlight w:val="none"/>
        </w:rPr>
        <w:t>》专业课程的</w:t>
      </w:r>
      <w:r>
        <w:rPr>
          <w:rFonts w:hint="eastAsia" w:ascii="宋体" w:hAnsi="宋体" w:eastAsia="宋体" w:cs="宋体"/>
          <w:sz w:val="28"/>
          <w:szCs w:val="28"/>
        </w:rPr>
        <w:t>知识点脉络，可供学生自主学习及自我检测，根据其所在的专业所涉及的知识图谱、自测情况及课程的前后继关系，更加精准的进行资源的推送，从而解决学生学习过程中的盲点、难点，充分发挥知识图谱平台在教与学活动中的作用，切实提升我院信息化水平，为学校战略发展提供支撑和保障。</w:t>
      </w:r>
    </w:p>
    <w:p>
      <w:pPr>
        <w:ind w:firstLine="560"/>
        <w:rPr>
          <w:rFonts w:ascii="宋体-简" w:hAnsi="宋体-简" w:eastAsia="宋体-简"/>
          <w:sz w:val="28"/>
          <w:szCs w:val="28"/>
        </w:rPr>
      </w:pPr>
      <w:r>
        <w:rPr>
          <w:rFonts w:hint="eastAsia" w:ascii="宋体" w:hAnsi="宋体" w:eastAsia="宋体" w:cs="宋体"/>
          <w:sz w:val="28"/>
          <w:szCs w:val="28"/>
        </w:rPr>
        <w:t>《中医经典》课程知识图谱建设需能与学校智慧教学平台打通，提供自动或半自动地从课程的教学资源中抽取和融合课程知识点的机制和工具，为教师构建一个更高效地组织、利用并能持续更新扩展教学资源的平台：为学生提供一个更好获取和理解课程知识体系的平台。具体需求模块及功能如下：</w:t>
      </w:r>
    </w:p>
    <w:p>
      <w:pPr>
        <w:rPr>
          <w:rFonts w:ascii="宋体-简" w:hAnsi="宋体-简" w:eastAsia="宋体-简"/>
          <w:sz w:val="28"/>
          <w:szCs w:val="28"/>
        </w:rPr>
      </w:pPr>
      <w:r>
        <w:rPr>
          <w:rFonts w:hint="eastAsia" w:ascii="宋体-简" w:hAnsi="宋体-简" w:eastAsia="宋体-简"/>
          <w:sz w:val="28"/>
          <w:szCs w:val="28"/>
        </w:rPr>
        <w:t>一、知识图谱构建和管理</w:t>
      </w:r>
    </w:p>
    <w:p>
      <w:pPr>
        <w:rPr>
          <w:rFonts w:ascii="宋体-简" w:hAnsi="宋体-简" w:eastAsia="宋体-简"/>
          <w:sz w:val="28"/>
          <w:szCs w:val="28"/>
        </w:rPr>
      </w:pPr>
      <w:r>
        <w:rPr>
          <w:rFonts w:hint="eastAsia" w:ascii="宋体-简" w:hAnsi="宋体-简" w:eastAsia="宋体-简"/>
          <w:sz w:val="28"/>
          <w:szCs w:val="28"/>
        </w:rPr>
        <w:t>（一）知识图谱框架管理</w:t>
      </w:r>
    </w:p>
    <w:p>
      <w:pPr>
        <w:rPr>
          <w:rFonts w:ascii="宋体-简" w:hAnsi="宋体-简" w:eastAsia="宋体-简"/>
          <w:sz w:val="28"/>
          <w:szCs w:val="28"/>
        </w:rPr>
      </w:pPr>
      <w:r>
        <w:rPr>
          <w:rFonts w:hint="eastAsia" w:ascii="宋体-简" w:hAnsi="宋体-简" w:eastAsia="宋体-简"/>
          <w:sz w:val="28"/>
          <w:szCs w:val="28"/>
        </w:rPr>
        <w:t>1.支持建立以学校的教务课程-知识点为体系的知识点架构进行后台知识图谱框架管理；</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2.支持对教务课程的课程类别、课程性质进行增删改查管理；</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3.支持按照学校不同专业关联不同的课程，生成学科/专业知识图谱；</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4.支持为网络课程和教务课程建立独立的知识图谱，便于统一管理。</w:t>
      </w:r>
    </w:p>
    <w:p>
      <w:pPr>
        <w:rPr>
          <w:rFonts w:ascii="宋体-简" w:hAnsi="宋体-简" w:eastAsia="宋体-简"/>
          <w:color w:val="000000" w:themeColor="text1"/>
          <w:sz w:val="28"/>
          <w:szCs w:val="28"/>
          <w14:textFill>
            <w14:solidFill>
              <w14:schemeClr w14:val="tx1"/>
            </w14:solidFill>
          </w14:textFill>
        </w:rPr>
      </w:pP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（二）课程知识图谱构建</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1.支持知识点多层级架构建立，生成子父级知识点关系；</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2.支持手动添加、模板导入等方式手动构建知识图谱；</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3.支持智能导入，用户上传课程大纲、教材等，系统智能识别构建生成知识图谱；</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4.支持本地导入xmind格式的思维导图文件，自动读取文件数据，生成课程知识图谱；</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5.支持教务课程和网络课程知识图谱互相同步调用；</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6.支持课程章节一件转化生成知识图谱，并同时进行资源关联；</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7.支持克隆或继承前课程的知识图谱以及相关关系。</w:t>
      </w:r>
    </w:p>
    <w:p>
      <w:pPr>
        <w:rPr>
          <w:rFonts w:ascii="宋体-简" w:hAnsi="宋体-简" w:eastAsia="宋体-简"/>
          <w:color w:val="000000" w:themeColor="text1"/>
          <w:sz w:val="28"/>
          <w:szCs w:val="28"/>
          <w14:textFill>
            <w14:solidFill>
              <w14:schemeClr w14:val="tx1"/>
            </w14:solidFill>
          </w14:textFill>
        </w:rPr>
      </w:pP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（三）课程知识图谱管理</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1.支持知识点之间进行前置关系、后置关系、关联关系的设置；</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2.支持关联关系自定义，可进行添加描述并显示在图谱页面；</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3.支持给知识点打标签，自定义标签内容，支持同一个支持点标记多个标签；</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4.支持引用后台教务课程的知识图谱先进行审核，审核通过才允许引用，并记录引用次数；</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5.支持进行跨课知识点关联，实现不同课程自之间知识的聚合联动，关联后可以实现跨课学习并进行专业下多门课程的知识点关联展示应用；</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6.支持教师调整知识点在课程空间菜单栏的显示顺序；</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7.支持教师对图谱样式进行自定义设置，包含知识点的显示形状、颜色、位置，以及组别位置，适配多种展示场景并设定学生端默认显示方案。</w:t>
      </w:r>
    </w:p>
    <w:p>
      <w:pPr>
        <w:rPr>
          <w:rFonts w:ascii="宋体-简" w:hAnsi="宋体-简" w:eastAsia="宋体-简"/>
          <w:color w:val="000000" w:themeColor="text1"/>
          <w:sz w:val="28"/>
          <w:szCs w:val="28"/>
          <w14:textFill>
            <w14:solidFill>
              <w14:schemeClr w14:val="tx1"/>
            </w14:solidFill>
          </w14:textFill>
        </w:rPr>
      </w:pP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（四）课程知识图谱展示</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1.系统支持根据知识树的关联关系，自动生成知识图谱，并在图谱页面以连线节点方式进行展示；</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2.支持知识图谱形成网状结构，点击对应知识点即可查看知识点的相关资源；</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3.支持按照知识点的关系属性（父子、关联、前后置关系）联动筛选；</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4.支持按照知识点和标签两个维度进行知识点的筛选查看；</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5.支持教师端显示知识点统计卡片，点击对应知识点可以查看知识图谱建设情况以及学生学习情况；</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6.支持智能生成学科/专业知识图谱，直观展示课程的点以及跨课程的知识点相关关系帮助交叉学科以及整合课程的发现与规划；</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7.支持知识图谱的显示展开收起功能，默认显示父级知识点，点击显示子级知识点；</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8.教师端在图谱上支持显示所有知识点的综合统计情况卡片；</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9.支持显示教师端自定义图谱样式，并进行配色方案切换展示；</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10.支持思维导图模式展示图谱内容，支持切换不同的结构形式查看以及检索知识点快速查找；同时思维导图支持编辑模式，可进行操作的回退前进，知识点的增删改，以及属性编辑等；</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11.问题图谱模块，支持教师进行问题图谱建设（支持自定义名称及描述），添加问题卡片，同一层级的卡片支持拖动移动，拖动连线串联及删除连接等快捷操作，同时可进行标签以及知识点的关联关系建立；支持查看此问题关联的知识点小图谱，基于问题支线进行知识串联，能更好的进行同一问题场景下的知识学习；</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12.目标图谱模块，支持后台编辑的课程目标中选取所需的课程目标进行添加，将目标与知识点关联，便于用户以成果导向进行学习。课程达成度、课程目标达成度、课程目标关联知识点个数，统计数据可视化，便于用户快捷查看学习进程。</w:t>
      </w:r>
    </w:p>
    <w:p>
      <w:pPr>
        <w:rPr>
          <w:rFonts w:ascii="宋体-简" w:hAnsi="宋体-简" w:eastAsia="宋体-简"/>
          <w:color w:val="000000" w:themeColor="text1"/>
          <w:sz w:val="28"/>
          <w:szCs w:val="28"/>
          <w14:textFill>
            <w14:solidFill>
              <w14:schemeClr w14:val="tx1"/>
            </w14:solidFill>
          </w14:textFill>
        </w:rPr>
      </w:pP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二、知识图谱应用</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（一）资源管理</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1.支持教师对课程章节内容，包括——视频、音频、文档、图书、章节测验等进行知识点标记，作为知识点教学任务进行设置，方便学生按知识点进行任务学习；</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2.支持系统智能识别视频内容，在视频时间点上自动打知识点标签，教师可以编辑修改；视频播放时学生可以定位到时间点观看对应知识点的视频讲解；</w:t>
      </w: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4.支持资源关联知识点，并查看知识点关联资源数量，方便教师按知识点管理资源。</w:t>
      </w:r>
    </w:p>
    <w:p>
      <w:pPr>
        <w:rPr>
          <w:rFonts w:ascii="宋体-简" w:hAnsi="宋体-简" w:eastAsia="宋体-简"/>
          <w:color w:val="000000" w:themeColor="text1"/>
          <w:sz w:val="28"/>
          <w:szCs w:val="28"/>
          <w14:textFill>
            <w14:solidFill>
              <w14:schemeClr w14:val="tx1"/>
            </w14:solidFill>
          </w14:textFill>
        </w:rPr>
      </w:pPr>
    </w:p>
    <w:p>
      <w:pPr>
        <w:rPr>
          <w:rFonts w:ascii="宋体-简" w:hAnsi="宋体-简" w:eastAsia="宋体-简"/>
          <w:color w:val="000000" w:themeColor="text1"/>
          <w:sz w:val="28"/>
          <w:szCs w:val="28"/>
          <w14:textFill>
            <w14:solidFill>
              <w14:schemeClr w14:val="tx1"/>
            </w14:solidFill>
          </w14:textFill>
        </w:rPr>
      </w:pPr>
      <w:r>
        <w:rPr>
          <w:rFonts w:hint="eastAsia" w:ascii="宋体-简" w:hAnsi="宋体-简" w:eastAsia="宋体-简"/>
          <w:color w:val="000000" w:themeColor="text1"/>
          <w:sz w:val="28"/>
          <w:szCs w:val="28"/>
          <w14:textFill>
            <w14:solidFill>
              <w14:schemeClr w14:val="tx1"/>
            </w14:solidFill>
          </w14:textFill>
        </w:rPr>
        <w:t>（二）题库管理</w:t>
      </w:r>
    </w:p>
    <w:p>
      <w:pPr>
        <w:rPr>
          <w:rFonts w:ascii="宋体-简" w:hAnsi="宋体-简" w:eastAsia="宋体-简"/>
          <w:sz w:val="28"/>
          <w:szCs w:val="28"/>
        </w:rPr>
      </w:pPr>
      <w:r>
        <w:rPr>
          <w:rFonts w:hint="eastAsia" w:ascii="宋体-简" w:hAnsi="宋体-简" w:eastAsia="宋体-简"/>
          <w:sz w:val="28"/>
          <w:szCs w:val="28"/>
        </w:rPr>
        <w:t>1.支持多种题型的创建管理，包括单选、多选、填空、判断、简答、名词解析、论述、计算、分录、连线、排序、完形填空、阅读理解、口语、听力等常见题型；</w:t>
      </w:r>
    </w:p>
    <w:p>
      <w:pPr>
        <w:rPr>
          <w:rFonts w:ascii="宋体-简" w:hAnsi="宋体-简" w:eastAsia="宋体-简"/>
          <w:sz w:val="28"/>
          <w:szCs w:val="28"/>
        </w:rPr>
      </w:pPr>
      <w:r>
        <w:rPr>
          <w:rFonts w:hint="eastAsia" w:ascii="宋体-简" w:hAnsi="宋体-简" w:eastAsia="宋体-简"/>
          <w:sz w:val="28"/>
          <w:szCs w:val="28"/>
        </w:rPr>
        <w:t>2.支持在创建或编辑题目时标记每道题对应的知识点标签，并支持按知识点筛选管理题目；</w:t>
      </w:r>
    </w:p>
    <w:p>
      <w:pPr>
        <w:rPr>
          <w:rFonts w:ascii="宋体-简" w:hAnsi="宋体-简" w:eastAsia="宋体-简"/>
          <w:sz w:val="28"/>
          <w:szCs w:val="28"/>
        </w:rPr>
      </w:pPr>
      <w:r>
        <w:rPr>
          <w:rFonts w:hint="eastAsia" w:ascii="宋体-简" w:hAnsi="宋体-简" w:eastAsia="宋体-简"/>
          <w:sz w:val="28"/>
          <w:szCs w:val="28"/>
        </w:rPr>
        <w:t>3.支持按模板批量导入题目时导入题目知识点；</w:t>
      </w:r>
    </w:p>
    <w:p>
      <w:pPr>
        <w:rPr>
          <w:rFonts w:ascii="宋体-简" w:hAnsi="宋体-简" w:eastAsia="宋体-简"/>
          <w:sz w:val="28"/>
          <w:szCs w:val="28"/>
        </w:rPr>
      </w:pPr>
      <w:r>
        <w:rPr>
          <w:rFonts w:hint="eastAsia" w:ascii="宋体-简" w:hAnsi="宋体-简" w:eastAsia="宋体-简"/>
          <w:sz w:val="28"/>
          <w:szCs w:val="28"/>
        </w:rPr>
        <w:t>4.支持批量编辑题目关联知识点；</w:t>
      </w:r>
    </w:p>
    <w:p>
      <w:pPr>
        <w:rPr>
          <w:rFonts w:ascii="宋体-简" w:hAnsi="宋体-简" w:eastAsia="宋体-简"/>
          <w:sz w:val="28"/>
          <w:szCs w:val="28"/>
        </w:rPr>
      </w:pPr>
      <w:r>
        <w:rPr>
          <w:rFonts w:hint="eastAsia" w:ascii="宋体-简" w:hAnsi="宋体-简" w:eastAsia="宋体-简"/>
          <w:sz w:val="28"/>
          <w:szCs w:val="28"/>
        </w:rPr>
        <w:t>5.支持错题显示解析以及相关知识点并支持点击跳转知识点学习页面进行自适应学习；</w:t>
      </w:r>
    </w:p>
    <w:p>
      <w:pPr>
        <w:rPr>
          <w:rFonts w:ascii="宋体-简" w:hAnsi="宋体-简" w:eastAsia="宋体-简"/>
          <w:sz w:val="28"/>
          <w:szCs w:val="28"/>
        </w:rPr>
      </w:pPr>
      <w:r>
        <w:rPr>
          <w:rFonts w:hint="eastAsia" w:ascii="宋体-简" w:hAnsi="宋体-简" w:eastAsia="宋体-简"/>
          <w:sz w:val="28"/>
          <w:szCs w:val="28"/>
        </w:rPr>
        <w:t>6.题目关联知识点操作时系统支持智能推荐知识点，便于教师快速进行关联操作。</w:t>
      </w:r>
    </w:p>
    <w:p>
      <w:pPr>
        <w:rPr>
          <w:rFonts w:ascii="宋体-简" w:hAnsi="宋体-简" w:eastAsia="宋体-简"/>
          <w:sz w:val="28"/>
          <w:szCs w:val="28"/>
        </w:rPr>
      </w:pPr>
    </w:p>
    <w:p>
      <w:pPr>
        <w:rPr>
          <w:rFonts w:ascii="宋体-简" w:hAnsi="宋体-简" w:eastAsia="宋体-简"/>
          <w:sz w:val="28"/>
          <w:szCs w:val="28"/>
        </w:rPr>
      </w:pPr>
      <w:r>
        <w:rPr>
          <w:rFonts w:hint="eastAsia" w:ascii="宋体-简" w:hAnsi="宋体-简" w:eastAsia="宋体-简"/>
          <w:sz w:val="28"/>
          <w:szCs w:val="28"/>
        </w:rPr>
        <w:t>（三）作业管理</w:t>
      </w:r>
    </w:p>
    <w:p>
      <w:pPr>
        <w:rPr>
          <w:rFonts w:ascii="宋体-简" w:hAnsi="宋体-简" w:eastAsia="宋体-简"/>
          <w:sz w:val="28"/>
          <w:szCs w:val="28"/>
        </w:rPr>
      </w:pPr>
      <w:r>
        <w:rPr>
          <w:rFonts w:hint="eastAsia" w:ascii="宋体-简" w:hAnsi="宋体-简" w:eastAsia="宋体-简"/>
          <w:sz w:val="28"/>
          <w:szCs w:val="28"/>
        </w:rPr>
        <w:t>支持创建作业，添加题目打知识点标签，也支持从题库抽题按知识点抽题，组建带有知识点的作业发放给学生作答。</w:t>
      </w:r>
    </w:p>
    <w:p>
      <w:pPr>
        <w:rPr>
          <w:rFonts w:ascii="宋体-简" w:hAnsi="宋体-简" w:eastAsia="宋体-简"/>
          <w:sz w:val="28"/>
          <w:szCs w:val="28"/>
        </w:rPr>
      </w:pPr>
    </w:p>
    <w:p>
      <w:pPr>
        <w:rPr>
          <w:rFonts w:ascii="宋体-简" w:hAnsi="宋体-简" w:eastAsia="宋体-简"/>
          <w:sz w:val="28"/>
          <w:szCs w:val="28"/>
        </w:rPr>
      </w:pPr>
      <w:r>
        <w:rPr>
          <w:rFonts w:hint="eastAsia" w:ascii="宋体-简" w:hAnsi="宋体-简" w:eastAsia="宋体-简"/>
          <w:sz w:val="28"/>
          <w:szCs w:val="28"/>
        </w:rPr>
        <w:t>（四）考试管理</w:t>
      </w:r>
    </w:p>
    <w:p>
      <w:pPr>
        <w:rPr>
          <w:rFonts w:ascii="宋体-简" w:hAnsi="宋体-简" w:eastAsia="宋体-简"/>
          <w:sz w:val="28"/>
          <w:szCs w:val="28"/>
        </w:rPr>
      </w:pPr>
      <w:r>
        <w:rPr>
          <w:rFonts w:hint="eastAsia" w:ascii="宋体-简" w:hAnsi="宋体-简" w:eastAsia="宋体-简"/>
          <w:sz w:val="28"/>
          <w:szCs w:val="28"/>
        </w:rPr>
        <w:t>需支持手动组建考试试卷和智能组卷可以按知识点抽题，组建带有知识点的试卷发放给学生考试。</w:t>
      </w:r>
    </w:p>
    <w:p>
      <w:pPr>
        <w:rPr>
          <w:rFonts w:ascii="宋体-简" w:hAnsi="宋体-简" w:eastAsia="宋体-简"/>
          <w:sz w:val="28"/>
          <w:szCs w:val="28"/>
        </w:rPr>
      </w:pPr>
    </w:p>
    <w:p>
      <w:pPr>
        <w:rPr>
          <w:rFonts w:ascii="宋体-简" w:hAnsi="宋体-简" w:eastAsia="宋体-简"/>
          <w:sz w:val="28"/>
          <w:szCs w:val="28"/>
        </w:rPr>
      </w:pPr>
      <w:r>
        <w:rPr>
          <w:rFonts w:hint="eastAsia" w:ascii="宋体-简" w:hAnsi="宋体-简" w:eastAsia="宋体-简"/>
          <w:sz w:val="28"/>
          <w:szCs w:val="28"/>
        </w:rPr>
        <w:t>（五）学生端知识点学习</w:t>
      </w:r>
    </w:p>
    <w:p>
      <w:pPr>
        <w:rPr>
          <w:rFonts w:ascii="宋体-简" w:hAnsi="宋体-简" w:eastAsia="宋体-简"/>
          <w:sz w:val="28"/>
          <w:szCs w:val="28"/>
        </w:rPr>
      </w:pPr>
      <w:r>
        <w:rPr>
          <w:rFonts w:hint="eastAsia" w:ascii="宋体-简" w:hAnsi="宋体-简" w:eastAsia="宋体-简"/>
          <w:sz w:val="28"/>
          <w:szCs w:val="28"/>
        </w:rPr>
        <w:t>1.支持学生查看课程知识图谱，并查看每个知识点的学习进度情况；</w:t>
      </w:r>
    </w:p>
    <w:p>
      <w:pPr>
        <w:rPr>
          <w:rFonts w:ascii="宋体-简" w:hAnsi="宋体-简" w:eastAsia="宋体-简"/>
          <w:sz w:val="28"/>
          <w:szCs w:val="28"/>
        </w:rPr>
      </w:pPr>
      <w:r>
        <w:rPr>
          <w:rFonts w:hint="eastAsia" w:ascii="宋体-简" w:hAnsi="宋体-简" w:eastAsia="宋体-简"/>
          <w:sz w:val="28"/>
          <w:szCs w:val="28"/>
        </w:rPr>
        <w:t>2.支持学生按知识点进行课程任务学习，观看课程视频，阅读课程资料等；</w:t>
      </w:r>
    </w:p>
    <w:p>
      <w:pPr>
        <w:rPr>
          <w:rFonts w:ascii="宋体-简" w:hAnsi="宋体-简" w:eastAsia="宋体-简"/>
          <w:sz w:val="28"/>
          <w:szCs w:val="28"/>
        </w:rPr>
      </w:pPr>
      <w:r>
        <w:rPr>
          <w:rFonts w:hint="eastAsia" w:ascii="宋体-简" w:hAnsi="宋体-简" w:eastAsia="宋体-简"/>
          <w:sz w:val="28"/>
          <w:szCs w:val="28"/>
        </w:rPr>
        <w:t>3.支持学生提交作业、考试，查看自己作答作业、考试题目的知识点掌握情况，并查看知识点推荐资源，巩固学习；</w:t>
      </w:r>
    </w:p>
    <w:p>
      <w:pPr>
        <w:rPr>
          <w:rFonts w:ascii="宋体-简" w:hAnsi="宋体-简" w:eastAsia="宋体-简"/>
          <w:sz w:val="28"/>
          <w:szCs w:val="28"/>
        </w:rPr>
      </w:pPr>
      <w:r>
        <w:rPr>
          <w:rFonts w:hint="eastAsia" w:ascii="宋体-简" w:hAnsi="宋体-简" w:eastAsia="宋体-简"/>
          <w:sz w:val="28"/>
          <w:szCs w:val="28"/>
        </w:rPr>
        <w:t>4.支持学生按知识点从题库或错题本抽题，逐题自测；</w:t>
      </w:r>
    </w:p>
    <w:p>
      <w:pPr>
        <w:rPr>
          <w:rFonts w:ascii="宋体-简" w:hAnsi="宋体-简" w:eastAsia="宋体-简"/>
          <w:sz w:val="28"/>
          <w:szCs w:val="28"/>
        </w:rPr>
      </w:pPr>
      <w:r>
        <w:rPr>
          <w:rFonts w:hint="eastAsia" w:ascii="宋体-简" w:hAnsi="宋体-简" w:eastAsia="宋体-简"/>
          <w:sz w:val="28"/>
          <w:szCs w:val="28"/>
        </w:rPr>
        <w:t>5.支持学生自测时可以设置抽题范围，仅抽当前知识点以及前置知识点的题，避免抽到未开始学习的知识点试题；</w:t>
      </w:r>
    </w:p>
    <w:p>
      <w:pPr>
        <w:rPr>
          <w:rFonts w:ascii="宋体-简" w:hAnsi="宋体-简" w:eastAsia="宋体-简"/>
          <w:sz w:val="28"/>
          <w:szCs w:val="28"/>
        </w:rPr>
      </w:pPr>
      <w:r>
        <w:rPr>
          <w:rFonts w:hint="eastAsia" w:ascii="宋体-简" w:hAnsi="宋体-简" w:eastAsia="宋体-简"/>
          <w:sz w:val="28"/>
          <w:szCs w:val="28"/>
        </w:rPr>
        <w:t>6.图谱页面支持多维度筛选以及配色方案的切换；便于更直观的查看各个知识点不同维度的学习情况。</w:t>
      </w:r>
    </w:p>
    <w:p>
      <w:pPr>
        <w:rPr>
          <w:rFonts w:ascii="宋体-简" w:hAnsi="宋体-简" w:eastAsia="宋体-简"/>
          <w:sz w:val="28"/>
          <w:szCs w:val="28"/>
        </w:rPr>
      </w:pPr>
    </w:p>
    <w:p>
      <w:pPr>
        <w:rPr>
          <w:rFonts w:ascii="宋体-简" w:hAnsi="宋体-简" w:eastAsia="宋体-简"/>
          <w:sz w:val="28"/>
          <w:szCs w:val="28"/>
        </w:rPr>
      </w:pPr>
      <w:r>
        <w:rPr>
          <w:rFonts w:hint="eastAsia" w:ascii="宋体-简" w:hAnsi="宋体-简" w:eastAsia="宋体-简"/>
          <w:sz w:val="28"/>
          <w:szCs w:val="28"/>
        </w:rPr>
        <w:t>三、知识图谱统计与分析</w:t>
      </w:r>
    </w:p>
    <w:p>
      <w:pPr>
        <w:rPr>
          <w:rFonts w:ascii="宋体-简" w:hAnsi="宋体-简" w:eastAsia="宋体-简"/>
          <w:sz w:val="28"/>
          <w:szCs w:val="28"/>
        </w:rPr>
      </w:pPr>
      <w:r>
        <w:rPr>
          <w:rFonts w:hint="eastAsia" w:ascii="宋体-简" w:hAnsi="宋体-简" w:eastAsia="宋体-简"/>
          <w:sz w:val="28"/>
          <w:szCs w:val="28"/>
        </w:rPr>
        <w:t>（一）教师端知识图谱统计</w:t>
      </w:r>
    </w:p>
    <w:p>
      <w:pPr>
        <w:rPr>
          <w:rFonts w:ascii="宋体-简" w:hAnsi="宋体-简" w:eastAsia="宋体-简"/>
          <w:sz w:val="28"/>
          <w:szCs w:val="28"/>
        </w:rPr>
      </w:pPr>
      <w:r>
        <w:rPr>
          <w:rFonts w:hint="eastAsia" w:ascii="宋体-简" w:hAnsi="宋体-简" w:eastAsia="宋体-简"/>
          <w:sz w:val="28"/>
          <w:szCs w:val="28"/>
        </w:rPr>
        <w:t>1.支持教师查看班级整体知识点分析统计，查看知识点平均完成率、平均掌握率、完成率分布和掌握率分布等；</w:t>
      </w:r>
    </w:p>
    <w:p>
      <w:pPr>
        <w:rPr>
          <w:rFonts w:ascii="宋体-简" w:hAnsi="宋体-简" w:eastAsia="宋体-简"/>
          <w:sz w:val="28"/>
          <w:szCs w:val="28"/>
        </w:rPr>
      </w:pPr>
      <w:r>
        <w:rPr>
          <w:rFonts w:hint="eastAsia" w:ascii="宋体-简" w:hAnsi="宋体-简" w:eastAsia="宋体-简"/>
          <w:sz w:val="28"/>
          <w:szCs w:val="28"/>
        </w:rPr>
        <w:t>2.支持按知识点查看每个知识点的关联学习资源数、平均完成率、平均掌握率、课程资料数、课程资料人均阅读情况等；</w:t>
      </w:r>
    </w:p>
    <w:p>
      <w:pPr>
        <w:rPr>
          <w:rFonts w:ascii="宋体-简" w:hAnsi="宋体-简" w:eastAsia="宋体-简"/>
          <w:sz w:val="28"/>
          <w:szCs w:val="28"/>
        </w:rPr>
      </w:pPr>
      <w:r>
        <w:rPr>
          <w:rFonts w:hint="eastAsia" w:ascii="宋体-简" w:hAnsi="宋体-简" w:eastAsia="宋体-简"/>
          <w:sz w:val="28"/>
          <w:szCs w:val="28"/>
        </w:rPr>
        <w:t>3.支持查看单个知识点的班级统计分析详情和推荐资源，包括此知识点的平均完成率、最高掌握率、最低掌握率、平均掌握率、每个学生的此知识点完成情况和掌握情况、此知识点的每个教学任务的平均完成情况、掌握情况等，以及查看此知识点的课程资源和系统推荐的拓展资源，支持教师添加拓展资源到课程，方便教师共享给学生阅读观看；</w:t>
      </w:r>
    </w:p>
    <w:p>
      <w:pPr>
        <w:rPr>
          <w:rFonts w:ascii="宋体-简" w:hAnsi="宋体-简" w:eastAsia="宋体-简"/>
          <w:sz w:val="28"/>
          <w:szCs w:val="28"/>
        </w:rPr>
      </w:pPr>
      <w:r>
        <w:rPr>
          <w:rFonts w:hint="eastAsia" w:ascii="宋体-简" w:hAnsi="宋体-简" w:eastAsia="宋体-简"/>
          <w:sz w:val="28"/>
          <w:szCs w:val="28"/>
        </w:rPr>
        <w:t>4.支持查看班级下每个学生的知识点平均完成情况、平均掌握情况、课程资料阅读情况等；</w:t>
      </w:r>
    </w:p>
    <w:p>
      <w:pPr>
        <w:rPr>
          <w:rFonts w:ascii="宋体-简" w:hAnsi="宋体-简" w:eastAsia="宋体-简"/>
          <w:sz w:val="28"/>
          <w:szCs w:val="28"/>
        </w:rPr>
      </w:pPr>
      <w:r>
        <w:rPr>
          <w:rFonts w:hint="eastAsia" w:ascii="宋体-简" w:hAnsi="宋体-简" w:eastAsia="宋体-简"/>
          <w:sz w:val="28"/>
          <w:szCs w:val="28"/>
        </w:rPr>
        <w:t>5.支持查看某一位学生的每个知识点的详情统计，包括每个知识点的完成情况、掌握情况、课程资料阅读情况等；</w:t>
      </w:r>
    </w:p>
    <w:p>
      <w:pPr>
        <w:rPr>
          <w:rFonts w:ascii="宋体-简" w:hAnsi="宋体-简" w:eastAsia="宋体-简"/>
          <w:sz w:val="28"/>
          <w:szCs w:val="28"/>
        </w:rPr>
      </w:pPr>
      <w:r>
        <w:rPr>
          <w:rFonts w:hint="eastAsia" w:ascii="宋体-简" w:hAnsi="宋体-简" w:eastAsia="宋体-简"/>
          <w:sz w:val="28"/>
          <w:szCs w:val="28"/>
        </w:rPr>
        <w:t>6.支持查看某一位学生某个知识点的统计详情，包括学生此知识点的完成情况、掌握情况、知识点关联的学习任务完成详情等以及查看此知识点的课程资源和系统推荐的拓展资源；</w:t>
      </w:r>
    </w:p>
    <w:p>
      <w:pPr>
        <w:rPr>
          <w:rFonts w:ascii="宋体-简" w:hAnsi="宋体-简" w:eastAsia="宋体-简"/>
          <w:sz w:val="28"/>
          <w:szCs w:val="28"/>
        </w:rPr>
      </w:pPr>
      <w:r>
        <w:rPr>
          <w:rFonts w:hint="eastAsia" w:ascii="宋体-简" w:hAnsi="宋体-简" w:eastAsia="宋体-简"/>
          <w:sz w:val="28"/>
          <w:szCs w:val="28"/>
        </w:rPr>
        <w:t>7.支持自定义变量进行统计，系统自动输出图谱或散点图。</w:t>
      </w:r>
    </w:p>
    <w:p>
      <w:pPr>
        <w:rPr>
          <w:rFonts w:ascii="宋体-简" w:hAnsi="宋体-简" w:eastAsia="宋体-简"/>
          <w:sz w:val="28"/>
          <w:szCs w:val="28"/>
        </w:rPr>
      </w:pPr>
    </w:p>
    <w:p>
      <w:pPr>
        <w:rPr>
          <w:rFonts w:ascii="宋体-简" w:hAnsi="宋体-简" w:eastAsia="宋体-简"/>
          <w:sz w:val="28"/>
          <w:szCs w:val="28"/>
        </w:rPr>
      </w:pPr>
      <w:r>
        <w:rPr>
          <w:rFonts w:hint="eastAsia" w:ascii="宋体-简" w:hAnsi="宋体-简" w:eastAsia="宋体-简"/>
          <w:sz w:val="28"/>
          <w:szCs w:val="28"/>
        </w:rPr>
        <w:t>（二）学生端知识图谱统计</w:t>
      </w:r>
    </w:p>
    <w:p>
      <w:pPr>
        <w:rPr>
          <w:rFonts w:ascii="宋体-简" w:hAnsi="宋体-简" w:eastAsia="宋体-简"/>
          <w:sz w:val="28"/>
          <w:szCs w:val="28"/>
        </w:rPr>
      </w:pPr>
      <w:r>
        <w:rPr>
          <w:rFonts w:hint="eastAsia" w:ascii="宋体-简" w:hAnsi="宋体-简" w:eastAsia="宋体-简"/>
          <w:sz w:val="28"/>
          <w:szCs w:val="28"/>
        </w:rPr>
        <w:t>1.支持学生查看本人的知识点统计分析，包括每个知识点的完成情况、掌握情况、课程资料阅读情况等；</w:t>
      </w:r>
    </w:p>
    <w:p>
      <w:pPr>
        <w:rPr>
          <w:rFonts w:ascii="宋体-简" w:hAnsi="宋体-简" w:eastAsia="宋体-简"/>
          <w:sz w:val="28"/>
          <w:szCs w:val="28"/>
        </w:rPr>
      </w:pPr>
      <w:r>
        <w:rPr>
          <w:rFonts w:hint="eastAsia" w:ascii="宋体-简" w:hAnsi="宋体-简" w:eastAsia="宋体-简"/>
          <w:sz w:val="28"/>
          <w:szCs w:val="28"/>
        </w:rPr>
        <w:t>2.支持学生查看自己单个知识点的统计分析详情和推荐资源，包括此知识点的完成情况、掌握情况、知识点关联的学习任务完成详情。</w:t>
      </w:r>
    </w:p>
    <w:p>
      <w:pPr>
        <w:rPr>
          <w:rFonts w:ascii="宋体-简" w:hAnsi="宋体-简" w:eastAsia="宋体-简"/>
          <w:sz w:val="28"/>
          <w:szCs w:val="28"/>
        </w:rPr>
      </w:pPr>
    </w:p>
    <w:p>
      <w:pPr>
        <w:rPr>
          <w:rFonts w:ascii="宋体-简" w:hAnsi="宋体-简" w:eastAsia="宋体-简"/>
          <w:sz w:val="28"/>
          <w:szCs w:val="28"/>
        </w:rPr>
      </w:pPr>
      <w:r>
        <w:rPr>
          <w:rFonts w:hint="eastAsia" w:ascii="宋体-简" w:hAnsi="宋体-简" w:eastAsia="宋体-简"/>
          <w:sz w:val="28"/>
          <w:szCs w:val="28"/>
        </w:rPr>
        <w:t>四、知识图谱智能路径规划与资源推荐</w:t>
      </w:r>
    </w:p>
    <w:p>
      <w:pPr>
        <w:rPr>
          <w:rFonts w:ascii="宋体-简" w:hAnsi="宋体-简" w:eastAsia="宋体-简"/>
          <w:sz w:val="28"/>
          <w:szCs w:val="28"/>
        </w:rPr>
      </w:pPr>
      <w:r>
        <w:rPr>
          <w:rFonts w:hint="eastAsia" w:ascii="宋体-简" w:hAnsi="宋体-简" w:eastAsia="宋体-简"/>
          <w:sz w:val="28"/>
          <w:szCs w:val="28"/>
        </w:rPr>
        <w:t>（一）资源推荐</w:t>
      </w:r>
    </w:p>
    <w:p>
      <w:pPr>
        <w:rPr>
          <w:rFonts w:ascii="宋体-简" w:hAnsi="宋体-简" w:eastAsia="宋体-简"/>
          <w:sz w:val="28"/>
          <w:szCs w:val="28"/>
        </w:rPr>
      </w:pPr>
      <w:r>
        <w:rPr>
          <w:rFonts w:hint="eastAsia" w:ascii="宋体-简" w:hAnsi="宋体-简" w:eastAsia="宋体-简"/>
          <w:sz w:val="28"/>
          <w:szCs w:val="28"/>
        </w:rPr>
        <w:t>1.支持学生查看基于知识点的智能学习路径，系统根据学生知识点掌握情况，智能规划知识点学习路径，学生可以按学习路径进行知识点的学习和巩固；</w:t>
      </w:r>
    </w:p>
    <w:p>
      <w:pPr>
        <w:rPr>
          <w:rFonts w:ascii="宋体-简" w:hAnsi="宋体-简" w:eastAsia="宋体-简"/>
          <w:sz w:val="28"/>
          <w:szCs w:val="28"/>
        </w:rPr>
      </w:pPr>
      <w:r>
        <w:rPr>
          <w:rFonts w:hint="eastAsia" w:ascii="宋体-简" w:hAnsi="宋体-简" w:eastAsia="宋体-简"/>
          <w:sz w:val="28"/>
          <w:szCs w:val="28"/>
        </w:rPr>
        <w:t>2.支持按照知识点，系统智能推荐拓展资源给学生学习；</w:t>
      </w:r>
    </w:p>
    <w:p>
      <w:pPr>
        <w:rPr>
          <w:rFonts w:ascii="宋体-简" w:hAnsi="宋体-简" w:eastAsia="宋体-简"/>
          <w:sz w:val="28"/>
          <w:szCs w:val="28"/>
        </w:rPr>
      </w:pPr>
      <w:r>
        <w:rPr>
          <w:rFonts w:hint="eastAsia" w:ascii="宋体-简" w:hAnsi="宋体-简" w:eastAsia="宋体-简"/>
          <w:sz w:val="28"/>
          <w:szCs w:val="28"/>
        </w:rPr>
        <w:t>3.支持推荐课内资源（教师关联的资源）平台资源（专业资源库，便于学校平台的资源聚合）超星资源（海量安全权威的超星资源推荐），并支持一键添加关联。</w:t>
      </w:r>
    </w:p>
    <w:p>
      <w:pPr>
        <w:rPr>
          <w:rFonts w:ascii="宋体-简" w:hAnsi="宋体-简" w:eastAsia="宋体-简"/>
          <w:sz w:val="28"/>
          <w:szCs w:val="28"/>
        </w:rPr>
      </w:pPr>
    </w:p>
    <w:p>
      <w:pPr>
        <w:rPr>
          <w:rFonts w:hint="eastAsia" w:ascii="宋体-简" w:hAnsi="宋体-简" w:eastAsia="宋体-简"/>
          <w:sz w:val="28"/>
          <w:szCs w:val="28"/>
          <w:lang w:eastAsia="zh-CN"/>
        </w:rPr>
      </w:pPr>
      <w:r>
        <w:rPr>
          <w:rFonts w:hint="eastAsia" w:ascii="宋体-简" w:hAnsi="宋体-简" w:eastAsia="宋体-简"/>
          <w:sz w:val="28"/>
          <w:szCs w:val="28"/>
          <w:lang w:val="en-US" w:eastAsia="zh-CN"/>
        </w:rPr>
        <w:t xml:space="preserve"> </w:t>
      </w:r>
    </w:p>
    <w:p>
      <w:pPr>
        <w:rPr>
          <w:rFonts w:ascii="宋体-简" w:hAnsi="宋体-简" w:eastAsia="宋体-简"/>
          <w:sz w:val="28"/>
          <w:szCs w:val="28"/>
        </w:rPr>
      </w:pPr>
      <w:bookmarkStart w:id="0" w:name="_Toc410342435"/>
      <w:bookmarkStart w:id="1" w:name="_Toc22046"/>
      <w:bookmarkStart w:id="2" w:name="_Toc461486216"/>
      <w:bookmarkStart w:id="3" w:name="_Toc1810115981_WPSOffice_Level1"/>
      <w:bookmarkStart w:id="4" w:name="_Toc674345335_WPSOffice_Level1"/>
      <w:bookmarkStart w:id="5" w:name="_Toc1133330628_WPSOffice_Level1"/>
      <w:bookmarkStart w:id="6" w:name="_Toc1027800852_WPSOffice_Level1"/>
      <w:bookmarkStart w:id="7" w:name="_Toc124352537"/>
      <w:bookmarkStart w:id="8" w:name="_Toc77930687"/>
      <w:bookmarkStart w:id="9" w:name="_Toc7491"/>
      <w:r>
        <w:rPr>
          <w:rFonts w:hint="eastAsia" w:ascii="宋体-简" w:hAnsi="宋体-简" w:eastAsia="宋体-简"/>
          <w:sz w:val="28"/>
          <w:szCs w:val="28"/>
          <w:lang w:val="en-US" w:eastAsia="zh-CN"/>
        </w:rPr>
        <w:t>五</w:t>
      </w:r>
      <w:r>
        <w:rPr>
          <w:rFonts w:hint="eastAsia" w:ascii="宋体-简" w:hAnsi="宋体-简" w:eastAsia="宋体-简"/>
          <w:sz w:val="28"/>
          <w:szCs w:val="28"/>
        </w:rPr>
        <w:t>、培训条款</w:t>
      </w:r>
      <w:bookmarkEnd w:id="0"/>
      <w:bookmarkEnd w:id="1"/>
      <w:bookmarkEnd w:id="2"/>
      <w:bookmarkEnd w:id="3"/>
      <w:bookmarkEnd w:id="4"/>
      <w:bookmarkEnd w:id="5"/>
      <w:bookmarkEnd w:id="6"/>
      <w:bookmarkEnd w:id="7"/>
      <w:bookmarkEnd w:id="8"/>
      <w:bookmarkEnd w:id="9"/>
    </w:p>
    <w:p>
      <w:pPr>
        <w:rPr>
          <w:rFonts w:ascii="宋体-简" w:hAnsi="宋体-简" w:eastAsia="宋体-简"/>
          <w:sz w:val="28"/>
          <w:szCs w:val="28"/>
        </w:rPr>
      </w:pPr>
      <w:r>
        <w:rPr>
          <w:rFonts w:hint="eastAsia" w:ascii="宋体-简" w:hAnsi="宋体-简" w:eastAsia="宋体-简"/>
          <w:sz w:val="28"/>
          <w:szCs w:val="28"/>
        </w:rPr>
        <w:t>免费提供管理员的培训服务及必要的技术支撑培训服务。提供至少3次总计不低于6学时针对老师和学生的知识图谱应用培训服务。</w:t>
      </w:r>
    </w:p>
    <w:p>
      <w:pPr>
        <w:rPr>
          <w:rFonts w:ascii="宋体-简" w:hAnsi="宋体-简" w:eastAsia="宋体-简"/>
          <w:sz w:val="28"/>
          <w:szCs w:val="28"/>
        </w:rPr>
      </w:pPr>
    </w:p>
    <w:p>
      <w:bookmarkStart w:id="10" w:name="_GoBack"/>
      <w:bookmarkEnd w:id="10"/>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宋体-简">
    <w:altName w:val="宋体"/>
    <w:panose1 w:val="02010600040101010101"/>
    <w:charset w:val="86"/>
    <w:family w:val="auto"/>
    <w:pitch w:val="default"/>
    <w:sig w:usb0="00000000" w:usb1="00000000" w:usb2="00000000" w:usb3="00000000" w:csb0="0016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Dk3NmUwMTNkOTg3YTQ0ZDQ3MzE4YzFkMzU3NjcifQ=="/>
  </w:docVars>
  <w:rsids>
    <w:rsidRoot w:val="1E0D4F9F"/>
    <w:rsid w:val="1E0D4F9F"/>
    <w:rsid w:val="58CE3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