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、报价的产品应提供原厂的产品彩页或软件说明书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成品软件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12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hmNWYwN2IwZGNkOGNiOWY3NDQ2OGNmNTdjMDAxNTU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0B283290"/>
    <w:rsid w:val="1339732B"/>
    <w:rsid w:val="13CA71B6"/>
    <w:rsid w:val="18057EF9"/>
    <w:rsid w:val="1BA85501"/>
    <w:rsid w:val="1F7A7466"/>
    <w:rsid w:val="366B04D5"/>
    <w:rsid w:val="3C827494"/>
    <w:rsid w:val="3F712C9E"/>
    <w:rsid w:val="416933BC"/>
    <w:rsid w:val="47E87A70"/>
    <w:rsid w:val="488E1EA3"/>
    <w:rsid w:val="5C8E29F0"/>
    <w:rsid w:val="5F770C81"/>
    <w:rsid w:val="640669E7"/>
    <w:rsid w:val="6B43283B"/>
    <w:rsid w:val="6D2A4CBB"/>
    <w:rsid w:val="757075B5"/>
    <w:rsid w:val="78525259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213</Words>
  <Characters>226</Characters>
  <Lines>108</Lines>
  <Paragraphs>30</Paragraphs>
  <TotalTime>3</TotalTime>
  <ScaleCrop>false</ScaleCrop>
  <LinksUpToDate>false</LinksUpToDate>
  <CharactersWithSpaces>313</CharactersWithSpaces>
  <Application>WPS Office_11.1.0.10943_F1E327BC-269C-435d-A152-05C5408002CA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不哭</cp:lastModifiedBy>
  <dcterms:modified xsi:type="dcterms:W3CDTF">2022-11-26T03:36:56Z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2052-11.1.0.10943</vt:lpwstr>
  </property>
  <property fmtid="{D5CDD505-2E9C-101B-9397-08002B2CF9AE}" pid="3" name="ICV">
    <vt:lpwstr>6893C5ACD242432EBE64AFE700C1DB88</vt:lpwstr>
  </property>
</Properties>
</file>