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C4890D">
      <w:pPr>
        <w:jc w:val="center"/>
        <w:rPr>
          <w:rFonts w:ascii="Times New Roman" w:hAnsi="Times New Roman" w:eastAsia="仿宋" w:cs="Times New Roman"/>
          <w:b/>
          <w:sz w:val="32"/>
          <w:szCs w:val="32"/>
        </w:rPr>
      </w:pPr>
      <w:r>
        <w:rPr>
          <w:rFonts w:ascii="Times New Roman" w:hAnsi="Times New Roman" w:eastAsia="仿宋" w:cs="Times New Roman"/>
          <w:b/>
          <w:sz w:val="32"/>
          <w:szCs w:val="32"/>
        </w:rPr>
        <w:t>福建中医药大学询价工作单</w:t>
      </w:r>
    </w:p>
    <w:p w14:paraId="74E5DEFD">
      <w:pPr>
        <w:ind w:firstLine="525" w:firstLineChars="250"/>
        <w:rPr>
          <w:rFonts w:ascii="Times New Roman" w:hAnsi="Times New Roman" w:eastAsia="仿宋" w:cs="Times New Roman"/>
          <w:szCs w:val="21"/>
        </w:rPr>
      </w:pPr>
      <w:r>
        <w:rPr>
          <w:rFonts w:ascii="Times New Roman" w:hAnsi="Times New Roman" w:eastAsia="仿宋" w:cs="Times New Roman"/>
          <w:szCs w:val="21"/>
        </w:rPr>
        <w:t>公司名称（盖章）：</w:t>
      </w:r>
    </w:p>
    <w:tbl>
      <w:tblPr>
        <w:tblStyle w:val="7"/>
        <w:tblW w:w="0" w:type="auto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3"/>
        <w:gridCol w:w="4098"/>
        <w:gridCol w:w="1560"/>
        <w:gridCol w:w="1134"/>
        <w:gridCol w:w="1417"/>
        <w:gridCol w:w="2589"/>
      </w:tblGrid>
      <w:tr w14:paraId="1C448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033" w:type="dxa"/>
            <w:vAlign w:val="center"/>
          </w:tcPr>
          <w:p w14:paraId="0BDA3A8B">
            <w:pPr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项目</w:t>
            </w:r>
          </w:p>
        </w:tc>
        <w:tc>
          <w:tcPr>
            <w:tcW w:w="4098" w:type="dxa"/>
            <w:vAlign w:val="center"/>
          </w:tcPr>
          <w:p w14:paraId="3088478A">
            <w:pPr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名称</w:t>
            </w:r>
          </w:p>
        </w:tc>
        <w:tc>
          <w:tcPr>
            <w:tcW w:w="1560" w:type="dxa"/>
            <w:vAlign w:val="center"/>
          </w:tcPr>
          <w:p w14:paraId="710B941B">
            <w:pPr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参考型号</w:t>
            </w:r>
          </w:p>
        </w:tc>
        <w:tc>
          <w:tcPr>
            <w:tcW w:w="1134" w:type="dxa"/>
            <w:vAlign w:val="center"/>
          </w:tcPr>
          <w:p w14:paraId="014A91FE">
            <w:pPr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数量</w:t>
            </w:r>
          </w:p>
        </w:tc>
        <w:tc>
          <w:tcPr>
            <w:tcW w:w="1417" w:type="dxa"/>
            <w:vAlign w:val="center"/>
          </w:tcPr>
          <w:p w14:paraId="0780F9B5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价格</w:t>
            </w:r>
          </w:p>
          <w:p w14:paraId="4DC158CD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（万元）</w:t>
            </w:r>
          </w:p>
        </w:tc>
        <w:tc>
          <w:tcPr>
            <w:tcW w:w="2589" w:type="dxa"/>
            <w:vAlign w:val="center"/>
          </w:tcPr>
          <w:p w14:paraId="40FCA57A">
            <w:pPr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备注</w:t>
            </w:r>
          </w:p>
        </w:tc>
      </w:tr>
      <w:tr w14:paraId="692C3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1033" w:type="dxa"/>
            <w:shd w:val="clear" w:color="auto" w:fill="auto"/>
            <w:vAlign w:val="center"/>
          </w:tcPr>
          <w:p w14:paraId="675AA4B2">
            <w:pPr>
              <w:rPr>
                <w:rFonts w:ascii="Times New Roman" w:hAnsi="Times New Roman" w:eastAsia="仿宋" w:cs="Times New Roman"/>
                <w:sz w:val="24"/>
              </w:rPr>
            </w:pPr>
            <w:bookmarkStart w:id="0" w:name="OLE_LINK6" w:colFirst="3" w:colLast="3"/>
            <w:bookmarkStart w:id="1" w:name="OLE_LINK5" w:colFirst="1" w:colLast="1"/>
            <w:bookmarkStart w:id="2" w:name="OLE_LINK7" w:colFirst="5" w:colLast="5"/>
            <w:bookmarkStart w:id="3" w:name="OLE_LINK11" w:colFirst="1" w:colLast="1"/>
            <w:bookmarkStart w:id="4" w:name="OLE_LINK3" w:colFirst="5" w:colLast="5"/>
          </w:p>
        </w:tc>
        <w:tc>
          <w:tcPr>
            <w:tcW w:w="4098" w:type="dxa"/>
            <w:shd w:val="clear" w:color="FFFF00" w:fill="auto"/>
            <w:vAlign w:val="center"/>
          </w:tcPr>
          <w:p w14:paraId="04269D3C">
            <w:pPr>
              <w:rPr>
                <w:rFonts w:ascii="仿宋" w:hAnsi="仿宋" w:eastAsia="仿宋" w:cs="Times New Roman"/>
                <w:sz w:val="24"/>
              </w:rPr>
            </w:pPr>
          </w:p>
        </w:tc>
        <w:tc>
          <w:tcPr>
            <w:tcW w:w="1560" w:type="dxa"/>
            <w:shd w:val="clear" w:color="FFFF00" w:fill="auto"/>
            <w:vAlign w:val="center"/>
          </w:tcPr>
          <w:p w14:paraId="3C6CE9E3">
            <w:pPr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134" w:type="dxa"/>
            <w:shd w:val="clear" w:color="FFFF00" w:fill="auto"/>
            <w:vAlign w:val="center"/>
          </w:tcPr>
          <w:p w14:paraId="10A3687B">
            <w:pPr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03AFA23">
            <w:pPr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2589" w:type="dxa"/>
            <w:vAlign w:val="center"/>
          </w:tcPr>
          <w:p w14:paraId="6348A9E0">
            <w:pPr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详见附件</w:t>
            </w:r>
          </w:p>
        </w:tc>
      </w:tr>
      <w:tr w14:paraId="5DEDD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1033" w:type="dxa"/>
            <w:shd w:val="clear" w:color="auto" w:fill="auto"/>
            <w:vAlign w:val="center"/>
          </w:tcPr>
          <w:p w14:paraId="561CC31F">
            <w:pPr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4098" w:type="dxa"/>
            <w:shd w:val="clear" w:color="FFFF00" w:fill="auto"/>
            <w:vAlign w:val="center"/>
          </w:tcPr>
          <w:p w14:paraId="3ED3D624">
            <w:pPr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560" w:type="dxa"/>
            <w:shd w:val="clear" w:color="FFFF00" w:fill="auto"/>
            <w:vAlign w:val="center"/>
          </w:tcPr>
          <w:p w14:paraId="694CB2FD">
            <w:pPr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134" w:type="dxa"/>
            <w:shd w:val="clear" w:color="FFFF00" w:fill="auto"/>
            <w:vAlign w:val="center"/>
          </w:tcPr>
          <w:p w14:paraId="0B227F7C">
            <w:pPr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FAD4B9D">
            <w:pPr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2589" w:type="dxa"/>
            <w:vAlign w:val="center"/>
          </w:tcPr>
          <w:p w14:paraId="4FAE1AB7">
            <w:pPr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3B77F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1033" w:type="dxa"/>
            <w:shd w:val="clear" w:color="auto" w:fill="auto"/>
            <w:vAlign w:val="center"/>
          </w:tcPr>
          <w:p w14:paraId="270BF90B">
            <w:pPr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4098" w:type="dxa"/>
            <w:shd w:val="clear" w:color="FFFF00" w:fill="auto"/>
            <w:vAlign w:val="center"/>
          </w:tcPr>
          <w:p w14:paraId="6CA62C56">
            <w:pPr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560" w:type="dxa"/>
            <w:shd w:val="clear" w:color="FFFF00" w:fill="auto"/>
            <w:vAlign w:val="center"/>
          </w:tcPr>
          <w:p w14:paraId="6D7C25E5">
            <w:pPr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134" w:type="dxa"/>
            <w:shd w:val="clear" w:color="FFFF00" w:fill="auto"/>
            <w:vAlign w:val="center"/>
          </w:tcPr>
          <w:p w14:paraId="521E98B1">
            <w:pPr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A9AE47D">
            <w:pPr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2589" w:type="dxa"/>
            <w:vAlign w:val="center"/>
          </w:tcPr>
          <w:p w14:paraId="463F16FB">
            <w:pPr>
              <w:rPr>
                <w:rFonts w:ascii="Times New Roman" w:hAnsi="Times New Roman" w:eastAsia="仿宋" w:cs="Times New Roman"/>
                <w:szCs w:val="21"/>
              </w:rPr>
            </w:pPr>
          </w:p>
        </w:tc>
      </w:tr>
      <w:tr w14:paraId="38B64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033" w:type="dxa"/>
            <w:shd w:val="clear" w:color="auto" w:fill="auto"/>
            <w:vAlign w:val="center"/>
          </w:tcPr>
          <w:p w14:paraId="0620629B">
            <w:pPr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4098" w:type="dxa"/>
            <w:shd w:val="clear" w:color="FFFF00" w:fill="auto"/>
            <w:vAlign w:val="center"/>
          </w:tcPr>
          <w:p w14:paraId="4AA316C0">
            <w:pPr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560" w:type="dxa"/>
            <w:shd w:val="clear" w:color="FFFF00" w:fill="auto"/>
            <w:vAlign w:val="center"/>
          </w:tcPr>
          <w:p w14:paraId="39B76708">
            <w:pPr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134" w:type="dxa"/>
            <w:shd w:val="clear" w:color="FFFF00" w:fill="auto"/>
            <w:vAlign w:val="center"/>
          </w:tcPr>
          <w:p w14:paraId="64BBB493">
            <w:pPr>
              <w:rPr>
                <w:rFonts w:ascii="Times New Roman" w:hAnsi="Times New Roman" w:eastAsia="仿宋" w:cs="Times New Roman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8F325FE">
            <w:pPr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2589" w:type="dxa"/>
            <w:vAlign w:val="center"/>
          </w:tcPr>
          <w:p w14:paraId="7B517431">
            <w:pPr>
              <w:rPr>
                <w:rFonts w:ascii="Times New Roman" w:hAnsi="Times New Roman" w:eastAsia="仿宋" w:cs="Times New Roman"/>
                <w:szCs w:val="21"/>
              </w:rPr>
            </w:pPr>
          </w:p>
        </w:tc>
      </w:tr>
      <w:tr w14:paraId="6750A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033" w:type="dxa"/>
            <w:shd w:val="clear" w:color="auto" w:fill="auto"/>
            <w:vAlign w:val="center"/>
          </w:tcPr>
          <w:p w14:paraId="5AD31B46">
            <w:pPr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4098" w:type="dxa"/>
            <w:shd w:val="clear" w:color="FFFF00" w:fill="auto"/>
            <w:vAlign w:val="center"/>
          </w:tcPr>
          <w:p w14:paraId="35456A8E">
            <w:pPr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560" w:type="dxa"/>
            <w:shd w:val="clear" w:color="FFFF00" w:fill="auto"/>
            <w:vAlign w:val="center"/>
          </w:tcPr>
          <w:p w14:paraId="454F8047">
            <w:pPr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134" w:type="dxa"/>
            <w:shd w:val="clear" w:color="FFFF00" w:fill="auto"/>
            <w:vAlign w:val="center"/>
          </w:tcPr>
          <w:p w14:paraId="37C53592">
            <w:pPr>
              <w:rPr>
                <w:rFonts w:ascii="Times New Roman" w:hAnsi="Times New Roman" w:eastAsia="仿宋" w:cs="Times New Roman"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F72C66E">
            <w:pPr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2589" w:type="dxa"/>
            <w:vAlign w:val="center"/>
          </w:tcPr>
          <w:p w14:paraId="4B0711E3">
            <w:pPr>
              <w:rPr>
                <w:rFonts w:ascii="Times New Roman" w:hAnsi="Times New Roman" w:eastAsia="仿宋" w:cs="Times New Roman"/>
                <w:szCs w:val="21"/>
              </w:rPr>
            </w:pPr>
          </w:p>
        </w:tc>
      </w:tr>
      <w:bookmarkEnd w:id="0"/>
      <w:bookmarkEnd w:id="1"/>
      <w:bookmarkEnd w:id="2"/>
      <w:bookmarkEnd w:id="3"/>
      <w:bookmarkEnd w:id="4"/>
      <w:tr w14:paraId="4812F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7825" w:type="dxa"/>
            <w:gridSpan w:val="4"/>
            <w:vAlign w:val="center"/>
          </w:tcPr>
          <w:p w14:paraId="41C35ADE">
            <w:pPr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合  计</w:t>
            </w:r>
          </w:p>
        </w:tc>
        <w:tc>
          <w:tcPr>
            <w:tcW w:w="1417" w:type="dxa"/>
            <w:vAlign w:val="center"/>
          </w:tcPr>
          <w:p w14:paraId="32FE6420">
            <w:pPr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2589" w:type="dxa"/>
            <w:vAlign w:val="center"/>
          </w:tcPr>
          <w:p w14:paraId="59C79B94">
            <w:pPr>
              <w:rPr>
                <w:rFonts w:ascii="Times New Roman" w:hAnsi="Times New Roman" w:eastAsia="仿宋" w:cs="Times New Roman"/>
                <w:szCs w:val="21"/>
              </w:rPr>
            </w:pPr>
          </w:p>
        </w:tc>
      </w:tr>
    </w:tbl>
    <w:p w14:paraId="0AF1D0BC">
      <w:pPr>
        <w:rPr>
          <w:rFonts w:ascii="Times New Roman" w:hAnsi="Times New Roman" w:eastAsia="仿宋" w:cs="Times New Roman"/>
          <w:szCs w:val="21"/>
        </w:rPr>
      </w:pPr>
      <w:r>
        <w:rPr>
          <w:rFonts w:ascii="Times New Roman" w:hAnsi="Times New Roman" w:eastAsia="仿宋" w:cs="Times New Roman"/>
          <w:szCs w:val="21"/>
        </w:rPr>
        <w:t xml:space="preserve">         联系人：                                    联系电话：</w:t>
      </w:r>
    </w:p>
    <w:p w14:paraId="0C270664">
      <w:pPr>
        <w:rPr>
          <w:rFonts w:ascii="Times New Roman" w:hAnsi="Times New Roman" w:eastAsia="仿宋" w:cs="Times New Roman"/>
          <w:szCs w:val="21"/>
        </w:rPr>
      </w:pPr>
      <w:r>
        <w:rPr>
          <w:rFonts w:hint="eastAsia" w:ascii="Times New Roman" w:hAnsi="Times New Roman" w:eastAsia="仿宋" w:cs="Times New Roman"/>
          <w:szCs w:val="21"/>
        </w:rPr>
        <w:t>1、参与询价的单位需完成技术规格偏离表。</w:t>
      </w:r>
    </w:p>
    <w:p w14:paraId="7D3164DB">
      <w:pPr>
        <w:rPr>
          <w:rFonts w:ascii="Times New Roman" w:hAnsi="Times New Roman" w:eastAsia="仿宋" w:cs="Times New Roman"/>
          <w:szCs w:val="21"/>
        </w:rPr>
      </w:pPr>
      <w:r>
        <w:rPr>
          <w:rFonts w:hint="eastAsia" w:ascii="Times New Roman" w:hAnsi="Times New Roman" w:eastAsia="仿宋" w:cs="Times New Roman"/>
          <w:szCs w:val="21"/>
        </w:rPr>
        <w:t>2、报价均为福州现场交货人民币价。</w:t>
      </w:r>
    </w:p>
    <w:p w14:paraId="724D6516">
      <w:pPr>
        <w:rPr>
          <w:rFonts w:ascii="Times New Roman" w:hAnsi="Times New Roman" w:eastAsia="仿宋" w:cs="Times New Roman"/>
          <w:szCs w:val="21"/>
        </w:rPr>
      </w:pPr>
      <w:r>
        <w:rPr>
          <w:rFonts w:ascii="Times New Roman" w:hAnsi="Times New Roman" w:eastAsia="仿宋" w:cs="Times New Roman"/>
          <w:szCs w:val="21"/>
        </w:rPr>
        <w:t>3</w:t>
      </w:r>
      <w:r>
        <w:rPr>
          <w:rFonts w:hint="eastAsia" w:ascii="Times New Roman" w:hAnsi="Times New Roman" w:eastAsia="仿宋" w:cs="Times New Roman"/>
          <w:szCs w:val="21"/>
        </w:rPr>
        <w:t>、询价单一式三份，装订成册。</w:t>
      </w:r>
    </w:p>
    <w:p w14:paraId="3BF28400">
      <w:pPr>
        <w:rPr>
          <w:rFonts w:hint="eastAsia" w:ascii="Times New Roman" w:hAnsi="Times New Roman" w:eastAsia="仿宋" w:cs="Times New Roman"/>
          <w:szCs w:val="21"/>
        </w:rPr>
      </w:pPr>
      <w:r>
        <w:rPr>
          <w:rFonts w:ascii="Times New Roman" w:hAnsi="Times New Roman" w:eastAsia="仿宋" w:cs="Times New Roman"/>
          <w:szCs w:val="21"/>
          <w:highlight w:val="none"/>
        </w:rPr>
        <w:t>4</w:t>
      </w:r>
      <w:r>
        <w:rPr>
          <w:rFonts w:hint="eastAsia" w:ascii="Times New Roman" w:hAnsi="Times New Roman" w:eastAsia="仿宋" w:cs="Times New Roman"/>
          <w:szCs w:val="21"/>
          <w:highlight w:val="none"/>
        </w:rPr>
        <w:t>、询价时间和地点:</w:t>
      </w:r>
      <w:r>
        <w:rPr>
          <w:rFonts w:hint="eastAsia" w:ascii="Times New Roman" w:hAnsi="Times New Roman" w:eastAsia="仿宋" w:cs="Times New Roman"/>
          <w:szCs w:val="21"/>
        </w:rPr>
        <w:t>2</w:t>
      </w:r>
      <w:r>
        <w:rPr>
          <w:rFonts w:hint="eastAsia" w:ascii="Times New Roman" w:hAnsi="Times New Roman" w:eastAsia="仿宋" w:cs="Times New Roman"/>
          <w:szCs w:val="21"/>
        </w:rPr>
        <w:t>02</w:t>
      </w:r>
      <w:r>
        <w:rPr>
          <w:rFonts w:hint="eastAsia" w:ascii="Times New Roman" w:hAnsi="Times New Roman" w:eastAsia="仿宋" w:cs="Times New Roman"/>
          <w:szCs w:val="21"/>
          <w:lang w:val="en-US" w:eastAsia="zh-CN"/>
        </w:rPr>
        <w:t>6</w:t>
      </w:r>
      <w:r>
        <w:rPr>
          <w:rFonts w:hint="eastAsia" w:ascii="Times New Roman" w:hAnsi="Times New Roman" w:eastAsia="仿宋" w:cs="Times New Roman"/>
          <w:szCs w:val="21"/>
        </w:rPr>
        <w:t>年</w:t>
      </w:r>
      <w:r>
        <w:rPr>
          <w:rFonts w:hint="eastAsia" w:ascii="Times New Roman" w:hAnsi="Times New Roman" w:eastAsia="仿宋" w:cs="Times New Roman"/>
          <w:szCs w:val="21"/>
          <w:lang w:val="en-US" w:eastAsia="zh-CN"/>
        </w:rPr>
        <w:t>1</w:t>
      </w:r>
      <w:r>
        <w:rPr>
          <w:rFonts w:hint="eastAsia" w:ascii="Times New Roman" w:hAnsi="Times New Roman" w:eastAsia="仿宋" w:cs="Times New Roman"/>
          <w:szCs w:val="21"/>
        </w:rPr>
        <w:t>月</w:t>
      </w:r>
      <w:r>
        <w:rPr>
          <w:rFonts w:hint="eastAsia" w:ascii="Times New Roman" w:hAnsi="Times New Roman" w:eastAsia="仿宋" w:cs="Times New Roman"/>
          <w:szCs w:val="21"/>
          <w:lang w:val="en-US" w:eastAsia="zh-CN"/>
        </w:rPr>
        <w:t>14</w:t>
      </w:r>
      <w:r>
        <w:rPr>
          <w:rFonts w:hint="eastAsia" w:ascii="Times New Roman" w:hAnsi="Times New Roman" w:eastAsia="仿宋" w:cs="Times New Roman"/>
          <w:szCs w:val="21"/>
        </w:rPr>
        <w:t>日</w:t>
      </w:r>
      <w:r>
        <w:rPr>
          <w:rFonts w:hint="eastAsia" w:ascii="Times New Roman" w:hAnsi="Times New Roman" w:eastAsia="仿宋" w:cs="Times New Roman"/>
          <w:szCs w:val="21"/>
          <w:lang w:val="en-US" w:eastAsia="zh-CN"/>
        </w:rPr>
        <w:t>上午10:00，福建中医药大学旗山校区图书馆5楼科学技术处会议室</w:t>
      </w:r>
      <w:r>
        <w:rPr>
          <w:rFonts w:hint="eastAsia" w:ascii="Times New Roman" w:hAnsi="Times New Roman" w:eastAsia="仿宋" w:cs="Times New Roman"/>
          <w:szCs w:val="21"/>
        </w:rPr>
        <w:t xml:space="preserve"> </w:t>
      </w:r>
    </w:p>
    <w:p w14:paraId="2F0B1FBA">
      <w:pPr>
        <w:jc w:val="center"/>
        <w:rPr>
          <w:rFonts w:ascii="Times New Roman" w:hAnsi="Times New Roman" w:eastAsia="仿宋" w:cs="Times New Roman"/>
          <w:szCs w:val="21"/>
        </w:rPr>
      </w:pPr>
    </w:p>
    <w:p w14:paraId="013A4B0A">
      <w:pPr>
        <w:jc w:val="center"/>
        <w:rPr>
          <w:rFonts w:ascii="Times New Roman" w:hAnsi="Times New Roman" w:eastAsia="仿宋" w:cs="Times New Roman"/>
          <w:szCs w:val="21"/>
        </w:rPr>
      </w:pPr>
    </w:p>
    <w:p w14:paraId="3636D9CB">
      <w:pPr>
        <w:jc w:val="center"/>
        <w:rPr>
          <w:rFonts w:ascii="Times New Roman" w:hAnsi="Times New Roman" w:eastAsia="仿宋" w:cs="Times New Roman"/>
          <w:color w:val="000000"/>
          <w:sz w:val="28"/>
          <w:szCs w:val="28"/>
        </w:rPr>
      </w:pPr>
      <w:r>
        <w:rPr>
          <w:rFonts w:ascii="Times New Roman" w:hAnsi="Times New Roman" w:eastAsia="仿宋" w:cs="Times New Roman"/>
          <w:color w:val="000000"/>
          <w:sz w:val="28"/>
          <w:szCs w:val="28"/>
        </w:rPr>
        <w:t>技术规格偏离表</w:t>
      </w:r>
    </w:p>
    <w:p w14:paraId="23681D52">
      <w:pPr>
        <w:tabs>
          <w:tab w:val="left" w:pos="5355"/>
        </w:tabs>
        <w:rPr>
          <w:rFonts w:ascii="Times New Roman" w:hAnsi="Times New Roman" w:eastAsia="仿宋" w:cs="Times New Roman"/>
          <w:color w:val="000000"/>
          <w:szCs w:val="21"/>
        </w:rPr>
      </w:pPr>
      <w:r>
        <w:rPr>
          <w:rFonts w:ascii="Times New Roman" w:hAnsi="Times New Roman" w:eastAsia="仿宋" w:cs="Times New Roman"/>
          <w:color w:val="000000"/>
          <w:szCs w:val="21"/>
        </w:rPr>
        <w:t>报价方名称（全称）：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9"/>
        <w:gridCol w:w="4262"/>
        <w:gridCol w:w="4262"/>
        <w:gridCol w:w="4262"/>
      </w:tblGrid>
      <w:tr w14:paraId="51D6F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649" w:type="dxa"/>
            <w:vAlign w:val="center"/>
          </w:tcPr>
          <w:p w14:paraId="48EEEDBA">
            <w:pPr>
              <w:tabs>
                <w:tab w:val="left" w:pos="5355"/>
              </w:tabs>
              <w:ind w:right="-14" w:rightChars="-7"/>
              <w:rPr>
                <w:rFonts w:ascii="Times New Roman" w:hAnsi="Times New Roman" w:eastAsia="仿宋" w:cs="Times New Roman"/>
                <w:color w:val="000000"/>
                <w:spacing w:val="-1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spacing w:val="-10"/>
                <w:szCs w:val="21"/>
              </w:rPr>
              <w:t>序号</w:t>
            </w:r>
          </w:p>
        </w:tc>
        <w:tc>
          <w:tcPr>
            <w:tcW w:w="4262" w:type="dxa"/>
            <w:vAlign w:val="center"/>
          </w:tcPr>
          <w:p w14:paraId="21E3C7E0">
            <w:pPr>
              <w:tabs>
                <w:tab w:val="left" w:pos="5355"/>
              </w:tabs>
              <w:ind w:right="-14" w:rightChars="-7"/>
              <w:rPr>
                <w:rFonts w:ascii="Times New Roman" w:hAnsi="Times New Roman" w:eastAsia="仿宋" w:cs="Times New Roman"/>
                <w:color w:val="000000"/>
                <w:spacing w:val="-1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spacing w:val="-10"/>
                <w:szCs w:val="21"/>
              </w:rPr>
              <w:t>技 术 要 求</w:t>
            </w:r>
          </w:p>
        </w:tc>
        <w:tc>
          <w:tcPr>
            <w:tcW w:w="4262" w:type="dxa"/>
            <w:vAlign w:val="center"/>
          </w:tcPr>
          <w:p w14:paraId="42695924">
            <w:pPr>
              <w:tabs>
                <w:tab w:val="left" w:pos="5355"/>
              </w:tabs>
              <w:ind w:right="-14" w:rightChars="-7"/>
              <w:rPr>
                <w:rFonts w:ascii="Times New Roman" w:hAnsi="Times New Roman" w:eastAsia="仿宋" w:cs="Times New Roman"/>
                <w:color w:val="000000"/>
                <w:spacing w:val="-1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spacing w:val="-10"/>
                <w:szCs w:val="21"/>
              </w:rPr>
              <w:t xml:space="preserve"> 响 应 情 况</w:t>
            </w:r>
          </w:p>
        </w:tc>
        <w:tc>
          <w:tcPr>
            <w:tcW w:w="4262" w:type="dxa"/>
            <w:vAlign w:val="center"/>
          </w:tcPr>
          <w:p w14:paraId="0E0B7338">
            <w:pPr>
              <w:tabs>
                <w:tab w:val="left" w:pos="5355"/>
              </w:tabs>
              <w:ind w:right="-14" w:rightChars="-7"/>
              <w:rPr>
                <w:rFonts w:ascii="Times New Roman" w:hAnsi="Times New Roman" w:eastAsia="仿宋" w:cs="Times New Roman"/>
                <w:color w:val="000000"/>
                <w:spacing w:val="-1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spacing w:val="-10"/>
                <w:szCs w:val="21"/>
              </w:rPr>
              <w:t>偏 离 说 明</w:t>
            </w:r>
          </w:p>
        </w:tc>
      </w:tr>
      <w:tr w14:paraId="2BDEC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649" w:type="dxa"/>
            <w:vAlign w:val="center"/>
          </w:tcPr>
          <w:p w14:paraId="4885699B">
            <w:pPr>
              <w:tabs>
                <w:tab w:val="left" w:pos="5355"/>
              </w:tabs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4AC04EFB">
            <w:pPr>
              <w:rPr>
                <w:rFonts w:ascii="Times New Roman" w:hAnsi="Times New Roman" w:eastAsia="仿宋" w:cs="Times New Roman"/>
                <w:color w:val="000000"/>
                <w:szCs w:val="21"/>
                <w:u w:val="single"/>
              </w:rPr>
            </w:pPr>
          </w:p>
        </w:tc>
        <w:tc>
          <w:tcPr>
            <w:tcW w:w="4262" w:type="dxa"/>
            <w:vAlign w:val="center"/>
          </w:tcPr>
          <w:p w14:paraId="5232BABD">
            <w:pPr>
              <w:tabs>
                <w:tab w:val="left" w:pos="5355"/>
              </w:tabs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1FDF5256">
            <w:pPr>
              <w:tabs>
                <w:tab w:val="left" w:pos="5355"/>
              </w:tabs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</w:p>
        </w:tc>
      </w:tr>
      <w:tr w14:paraId="1D1F9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649" w:type="dxa"/>
            <w:vAlign w:val="center"/>
          </w:tcPr>
          <w:p w14:paraId="34C0DDA1">
            <w:pPr>
              <w:tabs>
                <w:tab w:val="left" w:pos="5355"/>
              </w:tabs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27B6A60B">
            <w:pPr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7F7CB15D">
            <w:pPr>
              <w:tabs>
                <w:tab w:val="left" w:pos="5355"/>
              </w:tabs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24D9F38B">
            <w:pPr>
              <w:tabs>
                <w:tab w:val="left" w:pos="5355"/>
              </w:tabs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</w:p>
        </w:tc>
      </w:tr>
      <w:tr w14:paraId="5BD78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649" w:type="dxa"/>
            <w:vAlign w:val="center"/>
          </w:tcPr>
          <w:p w14:paraId="18B72177">
            <w:pPr>
              <w:tabs>
                <w:tab w:val="left" w:pos="5355"/>
              </w:tabs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11E6C276">
            <w:pPr>
              <w:tabs>
                <w:tab w:val="left" w:pos="5355"/>
              </w:tabs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4FF540C8">
            <w:pPr>
              <w:tabs>
                <w:tab w:val="left" w:pos="5355"/>
              </w:tabs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0BA0FC92">
            <w:pPr>
              <w:tabs>
                <w:tab w:val="left" w:pos="5355"/>
              </w:tabs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</w:p>
        </w:tc>
      </w:tr>
      <w:tr w14:paraId="7ADAA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649" w:type="dxa"/>
            <w:vAlign w:val="center"/>
          </w:tcPr>
          <w:p w14:paraId="69DAB9F3">
            <w:pPr>
              <w:tabs>
                <w:tab w:val="left" w:pos="5355"/>
              </w:tabs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68107CC8">
            <w:pPr>
              <w:tabs>
                <w:tab w:val="left" w:pos="5355"/>
              </w:tabs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1035E1FE">
            <w:pPr>
              <w:tabs>
                <w:tab w:val="left" w:pos="5355"/>
              </w:tabs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3EFBD350">
            <w:pPr>
              <w:tabs>
                <w:tab w:val="left" w:pos="5355"/>
              </w:tabs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</w:p>
        </w:tc>
      </w:tr>
      <w:tr w14:paraId="5E5F1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649" w:type="dxa"/>
            <w:vAlign w:val="center"/>
          </w:tcPr>
          <w:p w14:paraId="40854D7B">
            <w:pPr>
              <w:tabs>
                <w:tab w:val="left" w:pos="5355"/>
              </w:tabs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7E17103D">
            <w:pPr>
              <w:tabs>
                <w:tab w:val="left" w:pos="5355"/>
              </w:tabs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01613390">
            <w:pPr>
              <w:tabs>
                <w:tab w:val="left" w:pos="5355"/>
              </w:tabs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6381A28C">
            <w:pPr>
              <w:tabs>
                <w:tab w:val="left" w:pos="5355"/>
              </w:tabs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</w:p>
        </w:tc>
      </w:tr>
      <w:tr w14:paraId="781B3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649" w:type="dxa"/>
            <w:vAlign w:val="center"/>
          </w:tcPr>
          <w:p w14:paraId="438D9A71">
            <w:pPr>
              <w:tabs>
                <w:tab w:val="left" w:pos="5355"/>
              </w:tabs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1E37A9E7">
            <w:pPr>
              <w:tabs>
                <w:tab w:val="left" w:pos="5355"/>
              </w:tabs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1FE56BB5">
            <w:pPr>
              <w:tabs>
                <w:tab w:val="left" w:pos="5355"/>
              </w:tabs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2B877858">
            <w:pPr>
              <w:tabs>
                <w:tab w:val="left" w:pos="5355"/>
              </w:tabs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</w:p>
        </w:tc>
      </w:tr>
      <w:tr w14:paraId="132EE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649" w:type="dxa"/>
            <w:vAlign w:val="center"/>
          </w:tcPr>
          <w:p w14:paraId="2AD89465">
            <w:pPr>
              <w:tabs>
                <w:tab w:val="left" w:pos="5355"/>
              </w:tabs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73584E47">
            <w:pPr>
              <w:tabs>
                <w:tab w:val="left" w:pos="5355"/>
              </w:tabs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578A4C27">
            <w:pPr>
              <w:tabs>
                <w:tab w:val="left" w:pos="5355"/>
              </w:tabs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2E522FB5">
            <w:pPr>
              <w:tabs>
                <w:tab w:val="left" w:pos="5355"/>
              </w:tabs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</w:p>
        </w:tc>
      </w:tr>
    </w:tbl>
    <w:p w14:paraId="08191083">
      <w:pPr>
        <w:rPr>
          <w:rFonts w:ascii="Times New Roman" w:hAnsi="Times New Roman" w:eastAsia="仿宋" w:cs="Times New Roman"/>
          <w:szCs w:val="21"/>
        </w:rPr>
      </w:pPr>
    </w:p>
    <w:p w14:paraId="4C5881C6">
      <w:pPr>
        <w:rPr>
          <w:rFonts w:ascii="Times New Roman" w:hAnsi="Times New Roman" w:eastAsia="仿宋" w:cs="Times New Roman"/>
          <w:szCs w:val="21"/>
        </w:rPr>
      </w:pPr>
    </w:p>
    <w:p w14:paraId="60BEA65A">
      <w:pPr>
        <w:spacing w:before="156" w:beforeLines="50" w:after="156" w:afterLines="50" w:line="560" w:lineRule="exact"/>
        <w:rPr>
          <w:rFonts w:ascii="Times New Roman" w:hAnsi="Times New Roman" w:eastAsia="宋体" w:cs="Times New Roman"/>
          <w:b/>
          <w:bCs/>
          <w:sz w:val="36"/>
          <w:szCs w:val="44"/>
        </w:rPr>
      </w:pPr>
    </w:p>
    <w:p w14:paraId="38F2203C">
      <w:pPr>
        <w:widowControl/>
        <w:rPr>
          <w:rFonts w:ascii="Times New Roman" w:hAnsi="Times New Roman" w:eastAsia="宋体" w:cs="Times New Roman"/>
          <w:b/>
          <w:bCs/>
          <w:sz w:val="36"/>
          <w:szCs w:val="44"/>
        </w:rPr>
        <w:sectPr>
          <w:pgSz w:w="16838" w:h="11906" w:orient="landscape"/>
          <w:pgMar w:top="1531" w:right="1418" w:bottom="1531" w:left="1418" w:header="851" w:footer="992" w:gutter="0"/>
          <w:cols w:space="425" w:num="1"/>
          <w:docGrid w:type="linesAndChars" w:linePitch="312" w:charSpace="0"/>
        </w:sectPr>
      </w:pPr>
    </w:p>
    <w:p w14:paraId="518DE481">
      <w:pPr>
        <w:spacing w:after="156" w:afterLines="50" w:line="560" w:lineRule="exact"/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ascii="Times New Roman" w:hAnsi="Times New Roman" w:eastAsia="宋体" w:cs="Times New Roman"/>
          <w:b/>
          <w:bCs/>
          <w:sz w:val="28"/>
          <w:szCs w:val="28"/>
        </w:rPr>
        <w:t>附件：</w:t>
      </w:r>
    </w:p>
    <w:p w14:paraId="65C6865A">
      <w:pPr>
        <w:kinsoku w:val="0"/>
        <w:autoSpaceDE w:val="0"/>
        <w:autoSpaceDN w:val="0"/>
        <w:adjustRightInd w:val="0"/>
        <w:snapToGrid w:val="0"/>
        <w:spacing w:line="500" w:lineRule="exac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一、项目服务要求</w:t>
      </w:r>
    </w:p>
    <w:p w14:paraId="2526A7FD">
      <w:pPr>
        <w:widowControl/>
        <w:kinsoku w:val="0"/>
        <w:topLinePunct/>
        <w:autoSpaceDE w:val="0"/>
        <w:autoSpaceDN w:val="0"/>
        <w:adjustRightInd w:val="0"/>
        <w:snapToGrid w:val="0"/>
        <w:spacing w:line="500" w:lineRule="exact"/>
        <w:ind w:firstLine="480" w:firstLineChars="200"/>
        <w:textAlignment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对</w:t>
      </w:r>
      <w:r>
        <w:rPr>
          <w:rFonts w:hint="eastAsia" w:ascii="Times New Roman" w:hAnsi="Times New Roman" w:cs="Times New Roman"/>
          <w:sz w:val="24"/>
        </w:rPr>
        <w:t>小鼠</w:t>
      </w:r>
      <w:r>
        <w:rPr>
          <w:rFonts w:ascii="Times New Roman" w:hAnsi="Times New Roman" w:cs="Times New Roman"/>
          <w:sz w:val="24"/>
        </w:rPr>
        <w:t>脑</w:t>
      </w:r>
      <w:r>
        <w:rPr>
          <w:rFonts w:hint="eastAsia" w:ascii="Times New Roman" w:hAnsi="Times New Roman" w:cs="Times New Roman"/>
          <w:sz w:val="24"/>
        </w:rPr>
        <w:t>和</w:t>
      </w:r>
      <w:r>
        <w:rPr>
          <w:rFonts w:ascii="Times New Roman" w:hAnsi="Times New Roman" w:cs="Times New Roman"/>
          <w:sz w:val="24"/>
        </w:rPr>
        <w:t>肌肉样本</w:t>
      </w:r>
      <w:r>
        <w:rPr>
          <w:rFonts w:hint="eastAsia" w:ascii="Times New Roman" w:hAnsi="Times New Roman" w:cs="Times New Roman"/>
          <w:sz w:val="24"/>
        </w:rPr>
        <w:t>共计</w:t>
      </w:r>
      <w:r>
        <w:rPr>
          <w:rFonts w:ascii="Times New Roman" w:hAnsi="Times New Roman" w:cs="Times New Roman"/>
          <w:sz w:val="24"/>
        </w:rPr>
        <w:t>63例进行10X Genomics单细胞转录组测序及分析。对样本组织进行细胞解离，利用DNBSEQ-T7高通量平台完成文库的测序，数据质量Q30＞85%，测序模式为PE100，总数据量不低于500M reads。具有数据分析团队和服务器集群分析平台，提供专属高级单细胞转录组云分析流程，可在线自主设置参数进行动态交互分析。一批次送样，样本质检合格后，35天完成单细胞转录组测序及分析工作。</w:t>
      </w:r>
    </w:p>
    <w:p w14:paraId="77A690FA">
      <w:pPr>
        <w:kinsoku w:val="0"/>
        <w:autoSpaceDE w:val="0"/>
        <w:autoSpaceDN w:val="0"/>
        <w:adjustRightInd w:val="0"/>
        <w:snapToGrid w:val="0"/>
        <w:spacing w:line="500" w:lineRule="exac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二、技术要求</w:t>
      </w:r>
    </w:p>
    <w:p w14:paraId="625780D3">
      <w:pPr>
        <w:widowControl/>
        <w:kinsoku w:val="0"/>
        <w:topLinePunct/>
        <w:autoSpaceDE w:val="0"/>
        <w:autoSpaceDN w:val="0"/>
        <w:adjustRightInd w:val="0"/>
        <w:snapToGrid w:val="0"/>
        <w:spacing w:line="500" w:lineRule="exact"/>
        <w:ind w:firstLine="480" w:firstLineChars="200"/>
        <w:textAlignment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1.利用10x Genomics平台对单细胞进行捕获标记，对单细胞悬液进行质检和计数，要求每个测序样本的细胞活性≥90%，结团率≤5%，细胞浓度范围为400-1200cells/μL，细胞直径范围＜40μm，有核率≥70%。</w:t>
      </w:r>
    </w:p>
    <w:p w14:paraId="731E585C">
      <w:pPr>
        <w:widowControl/>
        <w:kinsoku w:val="0"/>
        <w:topLinePunct/>
        <w:autoSpaceDE w:val="0"/>
        <w:autoSpaceDN w:val="0"/>
        <w:adjustRightInd w:val="0"/>
        <w:snapToGrid w:val="0"/>
        <w:spacing w:line="500" w:lineRule="exact"/>
        <w:ind w:firstLine="480" w:firstLineChars="200"/>
        <w:textAlignment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2.构建GEMs(Gel Bead in Emulsion)进行单细胞分离和标签化后，对GEMs破油处理，用磁珠纯化富集一链cDNA，然后进行cDNA扩增和质检。质检片段分布检测采用</w:t>
      </w:r>
      <w:r>
        <w:rPr>
          <w:rFonts w:hint="eastAsia" w:ascii="Times New Roman" w:hAnsi="Times New Roman" w:cs="Times New Roman"/>
          <w:sz w:val="24"/>
        </w:rPr>
        <w:t>安捷伦2100、安捷伦5300、安捷伦5400或其他适配仪器等进行，</w:t>
      </w:r>
      <w:r>
        <w:rPr>
          <w:rFonts w:ascii="Times New Roman" w:hAnsi="Times New Roman" w:cs="Times New Roman"/>
          <w:sz w:val="24"/>
        </w:rPr>
        <w:t>文库浓度检测采用Qubit、QPCR等检测。主峰cDNA浓度要求至少0.5ng/uL以上，片段大小主峰位置在1kb-2kb之间。</w:t>
      </w:r>
    </w:p>
    <w:p w14:paraId="03A24069">
      <w:pPr>
        <w:widowControl/>
        <w:kinsoku w:val="0"/>
        <w:topLinePunct/>
        <w:autoSpaceDE w:val="0"/>
        <w:autoSpaceDN w:val="0"/>
        <w:adjustRightInd w:val="0"/>
        <w:snapToGrid w:val="0"/>
        <w:spacing w:line="500" w:lineRule="exact"/>
        <w:ind w:firstLine="480" w:firstLineChars="200"/>
        <w:textAlignment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3.cDNA质检合格后构建二代测序文库，文库浓度在1ng/uL以上，体积≥20ul，接头污染占比＜10%，主峰片段大小在300-600bp之间。文库插入片段检测单峰，分布均匀，呈标准正态分布。</w:t>
      </w:r>
    </w:p>
    <w:p w14:paraId="460C32D3">
      <w:pPr>
        <w:widowControl/>
        <w:kinsoku w:val="0"/>
        <w:topLinePunct/>
        <w:autoSpaceDE w:val="0"/>
        <w:autoSpaceDN w:val="0"/>
        <w:adjustRightInd w:val="0"/>
        <w:snapToGrid w:val="0"/>
        <w:spacing w:line="500" w:lineRule="exact"/>
        <w:ind w:firstLine="480" w:firstLineChars="200"/>
        <w:textAlignment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4.使用DNBSEQ-T7高通量平台进行测序。每个检测样本的数据量不低于500M reads，Q30≥85％，测序数据基因组比对率≥85%，细胞平均reads≥20k reads。</w:t>
      </w:r>
    </w:p>
    <w:p w14:paraId="311C0DE2">
      <w:pPr>
        <w:widowControl/>
        <w:kinsoku w:val="0"/>
        <w:topLinePunct/>
        <w:autoSpaceDE w:val="0"/>
        <w:autoSpaceDN w:val="0"/>
        <w:adjustRightInd w:val="0"/>
        <w:snapToGrid w:val="0"/>
        <w:spacing w:line="500" w:lineRule="exact"/>
        <w:ind w:firstLine="480" w:firstLineChars="200"/>
        <w:textAlignment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5.具有数据分析团队和服务器集群分析平台，提供专属高级单细胞转录组云分析流程，在线自主设置参数动态交互分析。且交互分析至少能完成以下分析：</w:t>
      </w:r>
    </w:p>
    <w:p w14:paraId="3C1E5F6A">
      <w:pPr>
        <w:widowControl/>
        <w:kinsoku w:val="0"/>
        <w:topLinePunct/>
        <w:autoSpaceDE w:val="0"/>
        <w:autoSpaceDN w:val="0"/>
        <w:adjustRightInd w:val="0"/>
        <w:snapToGrid w:val="0"/>
        <w:spacing w:line="500" w:lineRule="exact"/>
        <w:ind w:firstLine="480" w:firstLineChars="200"/>
        <w:textAlignment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（1）基础分析：至少包括测序数据统计html报告、细胞质量过滤与评估（过滤包括线粒体、核糖体、红细胞（仅限动物）、叶绿体（仅限植物）、双细胞）；</w:t>
      </w:r>
    </w:p>
    <w:p w14:paraId="14DE25B6">
      <w:pPr>
        <w:widowControl/>
        <w:kinsoku w:val="0"/>
        <w:topLinePunct/>
        <w:autoSpaceDE w:val="0"/>
        <w:autoSpaceDN w:val="0"/>
        <w:adjustRightInd w:val="0"/>
        <w:snapToGrid w:val="0"/>
        <w:spacing w:line="500" w:lineRule="exact"/>
        <w:ind w:firstLine="480" w:firstLineChars="200"/>
        <w:textAlignment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（2）标准分析1：降维与聚类分析（至少包含UMAP、tSNE可视化结果）；</w:t>
      </w:r>
    </w:p>
    <w:p w14:paraId="3AC7DFFB">
      <w:pPr>
        <w:widowControl/>
        <w:kinsoku w:val="0"/>
        <w:topLinePunct/>
        <w:autoSpaceDE w:val="0"/>
        <w:autoSpaceDN w:val="0"/>
        <w:adjustRightInd w:val="0"/>
        <w:snapToGrid w:val="0"/>
        <w:spacing w:line="500" w:lineRule="exact"/>
        <w:ind w:firstLine="480" w:firstLineChars="200"/>
        <w:textAlignment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（3）标准分析2：细胞类型注释（其中细胞类型注释在线上至少包含3种及以上注释方式、4种及以上注释软件），细胞类群差异分析；</w:t>
      </w:r>
    </w:p>
    <w:p w14:paraId="57366C1C">
      <w:pPr>
        <w:widowControl/>
        <w:kinsoku w:val="0"/>
        <w:topLinePunct/>
        <w:autoSpaceDE w:val="0"/>
        <w:autoSpaceDN w:val="0"/>
        <w:adjustRightInd w:val="0"/>
        <w:snapToGrid w:val="0"/>
        <w:spacing w:line="500" w:lineRule="exact"/>
        <w:ind w:firstLine="480" w:firstLineChars="200"/>
        <w:textAlignment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（4）标准分析3：针对筛选出来的细胞类型至少进行亚群细分、功能分析等。功能分析至少包含5大数据库注释和功能富集，至少包括GO、KEGG、DO、DisGeNET、Reactome（DO和DisGeNET仅限人这一物种）以及GSEA、GSVA富集分析；</w:t>
      </w:r>
    </w:p>
    <w:p w14:paraId="5A6606B9">
      <w:pPr>
        <w:widowControl/>
        <w:kinsoku w:val="0"/>
        <w:topLinePunct/>
        <w:autoSpaceDE w:val="0"/>
        <w:autoSpaceDN w:val="0"/>
        <w:adjustRightInd w:val="0"/>
        <w:snapToGrid w:val="0"/>
        <w:spacing w:line="500" w:lineRule="exact"/>
        <w:ind w:firstLine="480" w:firstLineChars="200"/>
        <w:textAlignment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（5）个性化分析：提供≥10项个性化分析，至少提供Monocle3拟时序分析、细胞通讯分析（线上至少以提供3款软件选择）、hdWGCNA分析、SCINIC转录因子分析、RNA速率分析、单细胞代谢分析、单细胞ssGSEA分析、恶性细胞CNV分析、MEBOCOST代谢通讯分析等10项+线上个性化分析；提供单细胞转录组云平台交互式报告拓展工具，满足更多个性化需求。</w:t>
      </w:r>
    </w:p>
    <w:p w14:paraId="74B40B8D">
      <w:pPr>
        <w:widowControl/>
        <w:kinsoku w:val="0"/>
        <w:topLinePunct/>
        <w:autoSpaceDE w:val="0"/>
        <w:autoSpaceDN w:val="0"/>
        <w:adjustRightInd w:val="0"/>
        <w:snapToGrid w:val="0"/>
        <w:spacing w:line="500" w:lineRule="exact"/>
        <w:ind w:firstLine="480" w:firstLineChars="200"/>
        <w:textAlignment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（6）具备个性化呈图方案：可对项目中UMAP/tSNE、盒形图、堆积图、柱形图、网络图、火山图、MA图、韦恩图、花瓣图、饼图、弦图、折线图等图形的配色方案及字体进行一键化修改，也可针对单个图片单独进行配色、字体、字号等的调整。</w:t>
      </w:r>
    </w:p>
    <w:p w14:paraId="32777305">
      <w:pPr>
        <w:widowControl/>
        <w:kinsoku w:val="0"/>
        <w:topLinePunct/>
        <w:autoSpaceDE w:val="0"/>
        <w:autoSpaceDN w:val="0"/>
        <w:adjustRightInd w:val="0"/>
        <w:snapToGrid w:val="0"/>
        <w:spacing w:line="500" w:lineRule="exact"/>
        <w:ind w:firstLine="480" w:firstLineChars="200"/>
        <w:textAlignment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（7）云平台（服务器集群分析平台）</w:t>
      </w:r>
    </w:p>
    <w:p w14:paraId="53C02319">
      <w:pPr>
        <w:widowControl/>
        <w:kinsoku w:val="0"/>
        <w:topLinePunct/>
        <w:autoSpaceDE w:val="0"/>
        <w:autoSpaceDN w:val="0"/>
        <w:adjustRightInd w:val="0"/>
        <w:snapToGrid w:val="0"/>
        <w:spacing w:line="500" w:lineRule="exact"/>
        <w:ind w:firstLine="480" w:firstLineChars="200"/>
        <w:textAlignment w:val="center"/>
        <w:rPr>
          <w:rFonts w:ascii="Times New Roman" w:hAnsi="Times New Roman" w:cs="Times New Roman"/>
          <w:sz w:val="24"/>
        </w:rPr>
      </w:pPr>
      <w:r>
        <w:rPr>
          <w:rFonts w:hint="eastAsia" w:ascii="宋体" w:hAnsi="宋体" w:eastAsia="宋体" w:cs="宋体"/>
          <w:sz w:val="24"/>
        </w:rPr>
        <w:t>①</w:t>
      </w:r>
      <w:r>
        <w:rPr>
          <w:rFonts w:ascii="Times New Roman" w:hAnsi="Times New Roman" w:cs="Times New Roman"/>
          <w:sz w:val="24"/>
        </w:rPr>
        <w:t>云平台拥有完善的资料体系，综述、FAQ、文献案例解析、视频教程、分析Tips五位一体；</w:t>
      </w:r>
    </w:p>
    <w:p w14:paraId="355C606C">
      <w:pPr>
        <w:widowControl/>
        <w:kinsoku w:val="0"/>
        <w:topLinePunct/>
        <w:autoSpaceDE w:val="0"/>
        <w:autoSpaceDN w:val="0"/>
        <w:adjustRightInd w:val="0"/>
        <w:snapToGrid w:val="0"/>
        <w:spacing w:line="500" w:lineRule="exact"/>
        <w:ind w:firstLine="480" w:firstLineChars="200"/>
        <w:textAlignment w:val="center"/>
        <w:rPr>
          <w:rFonts w:ascii="Times New Roman" w:hAnsi="Times New Roman" w:cs="Times New Roman"/>
          <w:sz w:val="24"/>
        </w:rPr>
      </w:pPr>
      <w:r>
        <w:rPr>
          <w:rFonts w:hint="eastAsia" w:ascii="宋体" w:hAnsi="宋体" w:eastAsia="宋体" w:cs="宋体"/>
          <w:sz w:val="24"/>
        </w:rPr>
        <w:t>②</w:t>
      </w:r>
      <w:r>
        <w:rPr>
          <w:rFonts w:ascii="Times New Roman" w:hAnsi="Times New Roman" w:cs="Times New Roman"/>
          <w:sz w:val="24"/>
        </w:rPr>
        <w:t>云平台可在线自主设置参数进行动态交互分析，灵活选择参数、计算方法；</w:t>
      </w:r>
    </w:p>
    <w:p w14:paraId="7B27CF32">
      <w:pPr>
        <w:widowControl/>
        <w:kinsoku w:val="0"/>
        <w:topLinePunct/>
        <w:autoSpaceDE w:val="0"/>
        <w:autoSpaceDN w:val="0"/>
        <w:adjustRightInd w:val="0"/>
        <w:snapToGrid w:val="0"/>
        <w:spacing w:line="500" w:lineRule="exact"/>
        <w:ind w:firstLine="480" w:firstLineChars="200"/>
        <w:textAlignment w:val="center"/>
        <w:rPr>
          <w:rFonts w:ascii="Times New Roman" w:hAnsi="Times New Roman" w:cs="Times New Roman"/>
          <w:sz w:val="24"/>
        </w:rPr>
      </w:pPr>
      <w:r>
        <w:rPr>
          <w:rFonts w:hint="eastAsia" w:ascii="宋体" w:hAnsi="宋体" w:eastAsia="宋体" w:cs="宋体"/>
          <w:sz w:val="24"/>
        </w:rPr>
        <w:t>③</w:t>
      </w:r>
      <w:r>
        <w:rPr>
          <w:rFonts w:ascii="Times New Roman" w:hAnsi="Times New Roman" w:cs="Times New Roman"/>
          <w:sz w:val="24"/>
        </w:rPr>
        <w:t>云平台分析呈图标准化，符合CNS期刊要求：可实时在线修改，提供20+种配色方案，并可一键切换配色方案；图片编辑栏可调整字体、颜色，编辑文字、添加文字；可调整坐标轴，可直接拖动样本；</w:t>
      </w:r>
    </w:p>
    <w:p w14:paraId="3DFD0CDE">
      <w:pPr>
        <w:widowControl/>
        <w:kinsoku w:val="0"/>
        <w:topLinePunct/>
        <w:autoSpaceDE w:val="0"/>
        <w:autoSpaceDN w:val="0"/>
        <w:adjustRightInd w:val="0"/>
        <w:snapToGrid w:val="0"/>
        <w:spacing w:line="500" w:lineRule="exact"/>
        <w:ind w:firstLine="480" w:firstLineChars="200"/>
        <w:textAlignment w:val="center"/>
        <w:rPr>
          <w:rFonts w:ascii="Times New Roman" w:hAnsi="Times New Roman" w:cs="Times New Roman"/>
          <w:sz w:val="24"/>
        </w:rPr>
      </w:pPr>
      <w:r>
        <w:rPr>
          <w:rFonts w:hint="eastAsia" w:ascii="宋体" w:hAnsi="宋体" w:eastAsia="宋体" w:cs="宋体"/>
          <w:sz w:val="24"/>
        </w:rPr>
        <w:t>④</w:t>
      </w:r>
      <w:r>
        <w:rPr>
          <w:rFonts w:ascii="Times New Roman" w:hAnsi="Times New Roman" w:cs="Times New Roman"/>
          <w:sz w:val="24"/>
        </w:rPr>
        <w:t>须具有独立的研发与数据分析团队，基于云平台交付流程有影响因子IF≥10的一作文章不低于两篇</w:t>
      </w:r>
      <w:bookmarkStart w:id="5" w:name="_GoBack"/>
      <w:bookmarkEnd w:id="5"/>
    </w:p>
    <w:sectPr>
      <w:pgSz w:w="11906" w:h="16838"/>
      <w:pgMar w:top="1418" w:right="1474" w:bottom="1418" w:left="147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EzYTU5MjY4MWM2NjRkMGRjMmQ3N2ExMDllNjkxZGYifQ=="/>
    <w:docVar w:name="KSO_WPS_MARK_KEY" w:val="561368d3-70af-413b-b6ce-81e375f262aa"/>
  </w:docVars>
  <w:rsids>
    <w:rsidRoot w:val="00616F53"/>
    <w:rsid w:val="00155490"/>
    <w:rsid w:val="001A69E5"/>
    <w:rsid w:val="00242F6B"/>
    <w:rsid w:val="002A340F"/>
    <w:rsid w:val="002C100C"/>
    <w:rsid w:val="004C7DB4"/>
    <w:rsid w:val="00545857"/>
    <w:rsid w:val="005B285A"/>
    <w:rsid w:val="00616F53"/>
    <w:rsid w:val="0062565E"/>
    <w:rsid w:val="00726C87"/>
    <w:rsid w:val="00772A1B"/>
    <w:rsid w:val="00815D22"/>
    <w:rsid w:val="008175C0"/>
    <w:rsid w:val="00884462"/>
    <w:rsid w:val="008E258E"/>
    <w:rsid w:val="00934AD9"/>
    <w:rsid w:val="00976216"/>
    <w:rsid w:val="009B7054"/>
    <w:rsid w:val="00A2288F"/>
    <w:rsid w:val="00A56148"/>
    <w:rsid w:val="00B27B73"/>
    <w:rsid w:val="00B70E4F"/>
    <w:rsid w:val="00C731E9"/>
    <w:rsid w:val="00D336FB"/>
    <w:rsid w:val="00D34841"/>
    <w:rsid w:val="00DB22B5"/>
    <w:rsid w:val="00DB7E7B"/>
    <w:rsid w:val="00EB61A0"/>
    <w:rsid w:val="00F03F9A"/>
    <w:rsid w:val="00F6246D"/>
    <w:rsid w:val="00F93F98"/>
    <w:rsid w:val="02DA3939"/>
    <w:rsid w:val="069468A4"/>
    <w:rsid w:val="06C50F71"/>
    <w:rsid w:val="08742AEF"/>
    <w:rsid w:val="0978425B"/>
    <w:rsid w:val="09B6562F"/>
    <w:rsid w:val="0A63688B"/>
    <w:rsid w:val="0B69708F"/>
    <w:rsid w:val="15D90194"/>
    <w:rsid w:val="1AEE318A"/>
    <w:rsid w:val="1B3A0B4E"/>
    <w:rsid w:val="1B3B1CB8"/>
    <w:rsid w:val="1C861A22"/>
    <w:rsid w:val="1F3C4E5E"/>
    <w:rsid w:val="22BA5BB9"/>
    <w:rsid w:val="2A1907BF"/>
    <w:rsid w:val="2AA12D73"/>
    <w:rsid w:val="2C3562B0"/>
    <w:rsid w:val="303F548D"/>
    <w:rsid w:val="31FE6C08"/>
    <w:rsid w:val="321E4400"/>
    <w:rsid w:val="32BD2B5B"/>
    <w:rsid w:val="417E204F"/>
    <w:rsid w:val="44E126D9"/>
    <w:rsid w:val="4548605A"/>
    <w:rsid w:val="468772B0"/>
    <w:rsid w:val="4B5B4B39"/>
    <w:rsid w:val="4CE0507B"/>
    <w:rsid w:val="4EEE0E5F"/>
    <w:rsid w:val="4F936CC6"/>
    <w:rsid w:val="4F9B5B7A"/>
    <w:rsid w:val="50111D35"/>
    <w:rsid w:val="52F84CF4"/>
    <w:rsid w:val="54F01C80"/>
    <w:rsid w:val="581D1F66"/>
    <w:rsid w:val="5B735CCA"/>
    <w:rsid w:val="5C6A7000"/>
    <w:rsid w:val="5CB22695"/>
    <w:rsid w:val="5CBC509F"/>
    <w:rsid w:val="5FD31CFF"/>
    <w:rsid w:val="60973C0B"/>
    <w:rsid w:val="628C671C"/>
    <w:rsid w:val="673361E8"/>
    <w:rsid w:val="67B04461"/>
    <w:rsid w:val="698C6808"/>
    <w:rsid w:val="708E730A"/>
    <w:rsid w:val="72B93621"/>
    <w:rsid w:val="7A347F3E"/>
    <w:rsid w:val="7D51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