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default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一、蓄电池 256节：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1.采用12V120AH铅酸免维护蓄电池，设计寿命≥10年。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2.成组电池容量应保持良好的一致性，电池满电状态下，端电压最大值与最小值差不得超过30mV。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3.自放电损失：完全充电的蓄电池，在25±5℃的环境中，静置28天后，其容量保持率应在96％以上；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4.蓄电池密封反应效率：应不低于96％；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5.板栅结构：正极板采用二氧化铅，负极板为铅；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6.蓄电池之间连接电压降≤10mV；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7.蓄电池的安全阀应具有滤酸和自动开启、自动关闭的功能，其开阀压力应为10kPa～49kPa，闭阀压力应为1kPa～15kPa；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8.蓄电池在使用中应无渗液、漏液、爬液和膨胀现象。极性正确，正负极性及端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highlight w:val="none"/>
          <w:lang w:val="en-US" w:eastAsia="zh-CN"/>
        </w:rPr>
        <w:t>子有明显标志，便于连接；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9.蓄电池需具有极柱密封性能技术，当蓄电池24小时不间断水雾喷淋，应蓄电池极柱无进水。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10.蓄电池壳体需具有防水性能，当蓄电池24小时不间断水雾喷淋，应蓄电池壳体无进水。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11.蓄电池需具有防止铅灰短路性能，蓄电池连续循环充放电次数≥300，应蓄电池壳体内无铅化合物脱落，无短路。</w:t>
      </w:r>
    </w:p>
    <w:p>
      <w:pP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软件升级及安装改造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1.对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机房微模块内部动环监控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系统进行升级，要求无缝升级，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升级包能兼容现有监控系统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以满足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对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设备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供电及运行状态监控的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需求；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2.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监控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系统需具备移动智能管理功能，功能如下：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left"/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1）APP近端接入，查看微模块的布局信息、资源、环境和告警状态；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）可实时查看微模块通道内温度指标、湿度指标、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微模块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的门磁状态信息。并支持实时在移动APP上显示；</w:t>
      </w:r>
    </w:p>
    <w:p>
      <w:pPr>
        <w:numPr>
          <w:ilvl w:val="0"/>
          <w:numId w:val="0"/>
        </w:numPr>
        <w:ind w:firstLine="300" w:firstLineChars="100"/>
        <w:rPr>
          <w:rFonts w:hint="default" w:ascii="宋体" w:hAnsi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3）支持智能联动管理，可自定义联动逻辑，实现智能管理。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安装：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 xml:space="preserve">3.1 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原旧电池拆卸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更换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蓄电池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连接线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 xml:space="preserve">.2 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对微模块机柜内输出线路整理、调整、改造</w:t>
      </w: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商务要求</w:t>
      </w:r>
    </w:p>
    <w:p>
      <w:pPr>
        <w:numPr>
          <w:ilvl w:val="0"/>
          <w:numId w:val="2"/>
        </w:numP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三年免费质保；</w:t>
      </w:r>
    </w:p>
    <w:p>
      <w:pPr>
        <w:numPr>
          <w:ilvl w:val="0"/>
          <w:numId w:val="2"/>
        </w:numPr>
        <w:rPr>
          <w:rFonts w:hint="default" w:ascii="宋体" w:hAnsi="宋体" w:cs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0"/>
          <w:szCs w:val="30"/>
          <w:lang w:val="en-US" w:eastAsia="zh-CN"/>
        </w:rPr>
        <w:t>供货期30天。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default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F743B"/>
    <w:multiLevelType w:val="singleLevel"/>
    <w:tmpl w:val="EF4F74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B57678A"/>
    <w:multiLevelType w:val="singleLevel"/>
    <w:tmpl w:val="4B5767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WQxZGI1NWMzMmUxZTE2MTZmMDFkODdiYTlkNWMifQ=="/>
    <w:docVar w:name="KSO_WPS_MARK_KEY" w:val="7da115e4-42fd-4057-8861-2a4a99fc6b10"/>
  </w:docVars>
  <w:rsids>
    <w:rsidRoot w:val="304D46AF"/>
    <w:rsid w:val="0A952E16"/>
    <w:rsid w:val="16E12B32"/>
    <w:rsid w:val="304D46AF"/>
    <w:rsid w:val="45C078CD"/>
    <w:rsid w:val="5DA16A52"/>
    <w:rsid w:val="7854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