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A938A">
      <w:pPr>
        <w:jc w:val="center"/>
        <w:rPr>
          <w:rFonts w:ascii="仿宋" w:hAnsi="仿宋" w:eastAsia="仿宋"/>
          <w:b/>
          <w:sz w:val="32"/>
          <w:szCs w:val="32"/>
          <w:highlight w:val="none"/>
        </w:rPr>
      </w:pPr>
      <w:r>
        <w:rPr>
          <w:rFonts w:hint="eastAsia" w:ascii="仿宋" w:hAnsi="仿宋" w:eastAsia="仿宋"/>
          <w:b/>
          <w:sz w:val="32"/>
          <w:szCs w:val="32"/>
          <w:highlight w:val="none"/>
        </w:rPr>
        <w:t>福建中医药大学设备询价工作单</w:t>
      </w:r>
    </w:p>
    <w:p w14:paraId="3424ACA6">
      <w:pPr>
        <w:ind w:firstLine="525" w:firstLineChars="250"/>
        <w:rPr>
          <w:rFonts w:ascii="仿宋" w:hAnsi="仿宋" w:eastAsia="仿宋"/>
          <w:szCs w:val="21"/>
          <w:highlight w:val="none"/>
        </w:rPr>
      </w:pPr>
      <w:r>
        <w:rPr>
          <w:rFonts w:hint="eastAsia" w:ascii="仿宋" w:hAnsi="仿宋" w:eastAsia="仿宋"/>
          <w:szCs w:val="21"/>
          <w:highlight w:val="none"/>
        </w:rPr>
        <w:t>公司名 称（盖章）：</w:t>
      </w:r>
    </w:p>
    <w:tbl>
      <w:tblPr>
        <w:tblStyle w:val="4"/>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3503"/>
        <w:gridCol w:w="1640"/>
        <w:gridCol w:w="1400"/>
        <w:gridCol w:w="1525"/>
        <w:gridCol w:w="3887"/>
      </w:tblGrid>
      <w:tr w14:paraId="710D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33" w:type="dxa"/>
            <w:vAlign w:val="center"/>
          </w:tcPr>
          <w:p w14:paraId="02BE4535">
            <w:pPr>
              <w:jc w:val="center"/>
              <w:rPr>
                <w:rFonts w:ascii="仿宋" w:hAnsi="仿宋" w:eastAsia="仿宋"/>
                <w:szCs w:val="21"/>
                <w:highlight w:val="none"/>
              </w:rPr>
            </w:pPr>
            <w:r>
              <w:rPr>
                <w:rFonts w:hint="eastAsia" w:ascii="仿宋" w:hAnsi="仿宋" w:eastAsia="仿宋"/>
                <w:szCs w:val="21"/>
                <w:highlight w:val="none"/>
              </w:rPr>
              <w:t>项目</w:t>
            </w:r>
          </w:p>
        </w:tc>
        <w:tc>
          <w:tcPr>
            <w:tcW w:w="3503" w:type="dxa"/>
            <w:vAlign w:val="center"/>
          </w:tcPr>
          <w:p w14:paraId="24125181">
            <w:pPr>
              <w:jc w:val="center"/>
              <w:rPr>
                <w:rFonts w:ascii="仿宋" w:hAnsi="仿宋" w:eastAsia="仿宋"/>
                <w:szCs w:val="21"/>
                <w:highlight w:val="none"/>
              </w:rPr>
            </w:pPr>
            <w:r>
              <w:rPr>
                <w:rFonts w:hint="eastAsia" w:ascii="仿宋" w:hAnsi="仿宋" w:eastAsia="仿宋"/>
                <w:szCs w:val="21"/>
                <w:highlight w:val="none"/>
              </w:rPr>
              <w:t>仪器名称</w:t>
            </w:r>
          </w:p>
        </w:tc>
        <w:tc>
          <w:tcPr>
            <w:tcW w:w="1640" w:type="dxa"/>
            <w:vAlign w:val="center"/>
          </w:tcPr>
          <w:p w14:paraId="2B05091F">
            <w:pPr>
              <w:jc w:val="center"/>
              <w:rPr>
                <w:rFonts w:ascii="仿宋" w:hAnsi="仿宋" w:eastAsia="仿宋"/>
                <w:szCs w:val="21"/>
                <w:highlight w:val="none"/>
              </w:rPr>
            </w:pPr>
            <w:r>
              <w:rPr>
                <w:rFonts w:hint="eastAsia" w:ascii="仿宋" w:hAnsi="仿宋" w:eastAsia="仿宋"/>
                <w:szCs w:val="21"/>
                <w:highlight w:val="none"/>
              </w:rPr>
              <w:t>参考型号</w:t>
            </w:r>
          </w:p>
        </w:tc>
        <w:tc>
          <w:tcPr>
            <w:tcW w:w="1400" w:type="dxa"/>
            <w:vAlign w:val="center"/>
          </w:tcPr>
          <w:p w14:paraId="57F2BFA1">
            <w:pPr>
              <w:jc w:val="center"/>
              <w:rPr>
                <w:rFonts w:ascii="仿宋" w:hAnsi="仿宋" w:eastAsia="仿宋"/>
                <w:szCs w:val="21"/>
                <w:highlight w:val="none"/>
              </w:rPr>
            </w:pPr>
            <w:r>
              <w:rPr>
                <w:rFonts w:hint="eastAsia" w:ascii="仿宋" w:hAnsi="仿宋" w:eastAsia="仿宋"/>
                <w:szCs w:val="21"/>
                <w:highlight w:val="none"/>
              </w:rPr>
              <w:t>数量</w:t>
            </w:r>
          </w:p>
        </w:tc>
        <w:tc>
          <w:tcPr>
            <w:tcW w:w="1525" w:type="dxa"/>
            <w:vAlign w:val="center"/>
          </w:tcPr>
          <w:p w14:paraId="5632B57F">
            <w:pPr>
              <w:jc w:val="center"/>
              <w:rPr>
                <w:rFonts w:ascii="仿宋" w:hAnsi="仿宋" w:eastAsia="仿宋"/>
                <w:szCs w:val="21"/>
                <w:highlight w:val="none"/>
              </w:rPr>
            </w:pPr>
            <w:r>
              <w:rPr>
                <w:rFonts w:hint="eastAsia" w:ascii="仿宋" w:hAnsi="仿宋" w:eastAsia="仿宋"/>
                <w:szCs w:val="21"/>
                <w:highlight w:val="none"/>
              </w:rPr>
              <w:t>价格</w:t>
            </w:r>
          </w:p>
          <w:p w14:paraId="06328305">
            <w:pPr>
              <w:jc w:val="center"/>
              <w:rPr>
                <w:rFonts w:ascii="仿宋" w:hAnsi="仿宋" w:eastAsia="仿宋"/>
                <w:szCs w:val="21"/>
                <w:highlight w:val="none"/>
              </w:rPr>
            </w:pPr>
            <w:r>
              <w:rPr>
                <w:rFonts w:hint="eastAsia" w:ascii="仿宋" w:hAnsi="仿宋" w:eastAsia="仿宋"/>
                <w:szCs w:val="21"/>
                <w:highlight w:val="none"/>
              </w:rPr>
              <w:t>（万元）</w:t>
            </w:r>
          </w:p>
        </w:tc>
        <w:tc>
          <w:tcPr>
            <w:tcW w:w="3887" w:type="dxa"/>
            <w:vAlign w:val="center"/>
          </w:tcPr>
          <w:p w14:paraId="239EBE50">
            <w:pPr>
              <w:jc w:val="center"/>
              <w:rPr>
                <w:rFonts w:ascii="仿宋" w:hAnsi="仿宋" w:eastAsia="仿宋"/>
                <w:szCs w:val="21"/>
                <w:highlight w:val="none"/>
              </w:rPr>
            </w:pPr>
            <w:r>
              <w:rPr>
                <w:rFonts w:hint="eastAsia" w:ascii="仿宋" w:hAnsi="仿宋" w:eastAsia="仿宋"/>
                <w:szCs w:val="21"/>
                <w:highlight w:val="none"/>
              </w:rPr>
              <w:t>备注</w:t>
            </w:r>
          </w:p>
        </w:tc>
      </w:tr>
      <w:tr w14:paraId="0C9A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3" w:type="dxa"/>
            <w:shd w:val="clear" w:color="auto" w:fill="auto"/>
            <w:vAlign w:val="center"/>
          </w:tcPr>
          <w:p w14:paraId="7247D2C8">
            <w:pPr>
              <w:spacing w:line="360" w:lineRule="auto"/>
              <w:jc w:val="center"/>
              <w:rPr>
                <w:rFonts w:ascii="仿宋" w:hAnsi="仿宋" w:eastAsia="仿宋"/>
                <w:szCs w:val="21"/>
                <w:highlight w:val="none"/>
              </w:rPr>
            </w:pPr>
            <w:bookmarkStart w:id="0" w:name="OLE_LINK3" w:colFirst="5" w:colLast="5"/>
            <w:bookmarkStart w:id="1" w:name="OLE_LINK7" w:colFirst="5" w:colLast="5"/>
            <w:bookmarkStart w:id="2" w:name="OLE_LINK5" w:colFirst="1" w:colLast="1"/>
            <w:bookmarkStart w:id="3" w:name="OLE_LINK6" w:colFirst="3" w:colLast="3"/>
            <w:bookmarkStart w:id="4" w:name="OLE_LINK11" w:colFirst="1" w:colLast="1"/>
            <w:r>
              <w:rPr>
                <w:rFonts w:hint="eastAsia" w:ascii="仿宋" w:hAnsi="仿宋" w:eastAsia="仿宋"/>
                <w:szCs w:val="21"/>
                <w:highlight w:val="none"/>
              </w:rPr>
              <w:t>1</w:t>
            </w:r>
          </w:p>
        </w:tc>
        <w:tc>
          <w:tcPr>
            <w:tcW w:w="3503" w:type="dxa"/>
            <w:shd w:val="clear" w:color="FFFF00" w:fill="auto"/>
            <w:vAlign w:val="center"/>
          </w:tcPr>
          <w:p w14:paraId="3EE89DF9">
            <w:pPr>
              <w:spacing w:line="360" w:lineRule="auto"/>
              <w:jc w:val="center"/>
              <w:rPr>
                <w:highlight w:val="none"/>
              </w:rPr>
            </w:pPr>
            <w:r>
              <w:rPr>
                <w:rFonts w:hint="eastAsia" w:ascii="仿宋" w:hAnsi="仿宋" w:eastAsia="仿宋"/>
                <w:color w:val="000000"/>
                <w:szCs w:val="32"/>
                <w:highlight w:val="none"/>
              </w:rPr>
              <w:t>高精度便携式眼动仪</w:t>
            </w:r>
          </w:p>
        </w:tc>
        <w:tc>
          <w:tcPr>
            <w:tcW w:w="1640" w:type="dxa"/>
            <w:shd w:val="clear" w:color="FFFF00" w:fill="auto"/>
            <w:vAlign w:val="center"/>
          </w:tcPr>
          <w:p w14:paraId="71B314B4">
            <w:pPr>
              <w:spacing w:line="360" w:lineRule="auto"/>
              <w:jc w:val="center"/>
              <w:rPr>
                <w:highlight w:val="none"/>
              </w:rPr>
            </w:pPr>
          </w:p>
        </w:tc>
        <w:tc>
          <w:tcPr>
            <w:tcW w:w="1400" w:type="dxa"/>
            <w:shd w:val="clear" w:color="FFFF00" w:fill="auto"/>
            <w:vAlign w:val="center"/>
          </w:tcPr>
          <w:p w14:paraId="782095A4">
            <w:pPr>
              <w:spacing w:line="360" w:lineRule="auto"/>
              <w:jc w:val="center"/>
              <w:rPr>
                <w:highlight w:val="none"/>
              </w:rPr>
            </w:pPr>
            <w:bookmarkStart w:id="5" w:name="OLE_LINK59"/>
            <w:bookmarkStart w:id="6" w:name="OLE_LINK60"/>
            <w:r>
              <w:rPr>
                <w:rFonts w:hint="eastAsia"/>
                <w:highlight w:val="none"/>
              </w:rPr>
              <w:t>1</w:t>
            </w:r>
            <w:bookmarkEnd w:id="5"/>
            <w:bookmarkEnd w:id="6"/>
            <w:r>
              <w:rPr>
                <w:rFonts w:hint="eastAsia"/>
                <w:highlight w:val="none"/>
              </w:rPr>
              <w:t>台</w:t>
            </w:r>
          </w:p>
        </w:tc>
        <w:tc>
          <w:tcPr>
            <w:tcW w:w="1525" w:type="dxa"/>
            <w:vAlign w:val="center"/>
          </w:tcPr>
          <w:p w14:paraId="35ED3FD5">
            <w:pPr>
              <w:jc w:val="center"/>
              <w:rPr>
                <w:rFonts w:ascii="仿宋" w:hAnsi="仿宋" w:eastAsia="仿宋"/>
                <w:szCs w:val="21"/>
                <w:highlight w:val="none"/>
              </w:rPr>
            </w:pPr>
          </w:p>
        </w:tc>
        <w:tc>
          <w:tcPr>
            <w:tcW w:w="3887" w:type="dxa"/>
            <w:vAlign w:val="center"/>
          </w:tcPr>
          <w:p w14:paraId="09D4D21E">
            <w:pPr>
              <w:jc w:val="center"/>
              <w:rPr>
                <w:rFonts w:ascii="仿宋" w:hAnsi="仿宋" w:eastAsia="仿宋"/>
                <w:szCs w:val="21"/>
                <w:highlight w:val="none"/>
              </w:rPr>
            </w:pPr>
          </w:p>
        </w:tc>
      </w:tr>
      <w:bookmarkEnd w:id="0"/>
      <w:bookmarkEnd w:id="1"/>
      <w:bookmarkEnd w:id="2"/>
      <w:bookmarkEnd w:id="3"/>
      <w:bookmarkEnd w:id="4"/>
      <w:tr w14:paraId="3F13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576" w:type="dxa"/>
            <w:gridSpan w:val="4"/>
            <w:vAlign w:val="center"/>
          </w:tcPr>
          <w:p w14:paraId="5F6C4E0F">
            <w:pPr>
              <w:jc w:val="center"/>
              <w:rPr>
                <w:rFonts w:ascii="仿宋" w:hAnsi="仿宋" w:eastAsia="仿宋"/>
                <w:szCs w:val="21"/>
                <w:highlight w:val="none"/>
              </w:rPr>
            </w:pPr>
            <w:r>
              <w:rPr>
                <w:rFonts w:hint="eastAsia" w:ascii="仿宋" w:hAnsi="仿宋" w:eastAsia="仿宋"/>
                <w:szCs w:val="21"/>
                <w:highlight w:val="none"/>
              </w:rPr>
              <w:t>合  计</w:t>
            </w:r>
          </w:p>
        </w:tc>
        <w:tc>
          <w:tcPr>
            <w:tcW w:w="1525" w:type="dxa"/>
            <w:vAlign w:val="center"/>
          </w:tcPr>
          <w:p w14:paraId="687940EE">
            <w:pPr>
              <w:jc w:val="center"/>
              <w:rPr>
                <w:rFonts w:ascii="仿宋" w:hAnsi="仿宋" w:eastAsia="仿宋"/>
                <w:szCs w:val="21"/>
                <w:highlight w:val="none"/>
              </w:rPr>
            </w:pPr>
          </w:p>
        </w:tc>
        <w:tc>
          <w:tcPr>
            <w:tcW w:w="3887" w:type="dxa"/>
            <w:vAlign w:val="center"/>
          </w:tcPr>
          <w:p w14:paraId="73EEF9E7">
            <w:pPr>
              <w:jc w:val="center"/>
              <w:rPr>
                <w:rFonts w:ascii="仿宋" w:hAnsi="仿宋" w:eastAsia="仿宋"/>
                <w:szCs w:val="21"/>
                <w:highlight w:val="none"/>
              </w:rPr>
            </w:pPr>
          </w:p>
        </w:tc>
      </w:tr>
    </w:tbl>
    <w:p w14:paraId="5CF72EAA">
      <w:pPr>
        <w:rPr>
          <w:rFonts w:ascii="仿宋" w:hAnsi="仿宋" w:eastAsia="仿宋"/>
          <w:szCs w:val="21"/>
          <w:highlight w:val="none"/>
        </w:rPr>
      </w:pPr>
      <w:r>
        <w:rPr>
          <w:rFonts w:hint="eastAsia" w:ascii="仿宋" w:hAnsi="仿宋" w:eastAsia="仿宋"/>
          <w:szCs w:val="21"/>
          <w:highlight w:val="none"/>
        </w:rPr>
        <w:t xml:space="preserve">         联系人：                                    联系电话：</w:t>
      </w:r>
    </w:p>
    <w:p w14:paraId="24C53200">
      <w:pPr>
        <w:rPr>
          <w:rFonts w:ascii="仿宋" w:hAnsi="仿宋" w:eastAsia="仿宋"/>
          <w:szCs w:val="21"/>
          <w:highlight w:val="none"/>
        </w:rPr>
      </w:pPr>
      <w:r>
        <w:rPr>
          <w:rFonts w:hint="eastAsia" w:ascii="仿宋" w:hAnsi="仿宋" w:eastAsia="仿宋"/>
          <w:szCs w:val="21"/>
          <w:highlight w:val="none"/>
        </w:rPr>
        <w:t>1、询价会报名截止时间为</w:t>
      </w:r>
      <w:r>
        <w:rPr>
          <w:rFonts w:ascii="仿宋" w:hAnsi="仿宋" w:eastAsia="仿宋"/>
          <w:szCs w:val="21"/>
          <w:highlight w:val="none"/>
        </w:rPr>
        <w:t>20</w:t>
      </w:r>
      <w:r>
        <w:rPr>
          <w:rFonts w:hint="eastAsia" w:ascii="仿宋" w:hAnsi="仿宋" w:eastAsia="仿宋"/>
          <w:szCs w:val="21"/>
          <w:highlight w:val="none"/>
        </w:rPr>
        <w:t>2</w:t>
      </w:r>
      <w:r>
        <w:rPr>
          <w:rFonts w:hint="eastAsia" w:ascii="仿宋" w:hAnsi="仿宋" w:eastAsia="仿宋"/>
          <w:szCs w:val="21"/>
          <w:highlight w:val="none"/>
          <w:lang w:val="en-US" w:eastAsia="zh-CN"/>
        </w:rPr>
        <w:t>6</w:t>
      </w:r>
      <w:r>
        <w:rPr>
          <w:rFonts w:ascii="仿宋" w:hAnsi="仿宋" w:eastAsia="仿宋"/>
          <w:szCs w:val="21"/>
          <w:highlight w:val="none"/>
        </w:rPr>
        <w:t>年</w:t>
      </w:r>
      <w:r>
        <w:rPr>
          <w:rFonts w:hint="eastAsia" w:ascii="仿宋" w:hAnsi="仿宋" w:eastAsia="仿宋"/>
          <w:szCs w:val="21"/>
          <w:highlight w:val="none"/>
          <w:lang w:val="en-US" w:eastAsia="zh-CN"/>
        </w:rPr>
        <w:t>7</w:t>
      </w:r>
      <w:r>
        <w:rPr>
          <w:rFonts w:hint="eastAsia" w:ascii="仿宋" w:hAnsi="仿宋" w:eastAsia="仿宋"/>
          <w:szCs w:val="21"/>
          <w:highlight w:val="none"/>
        </w:rPr>
        <w:t>月</w:t>
      </w:r>
      <w:r>
        <w:rPr>
          <w:rFonts w:hint="eastAsia" w:ascii="仿宋" w:hAnsi="仿宋" w:eastAsia="仿宋"/>
          <w:szCs w:val="21"/>
          <w:highlight w:val="none"/>
          <w:lang w:val="en-US" w:eastAsia="zh-CN"/>
        </w:rPr>
        <w:t>8</w:t>
      </w:r>
      <w:r>
        <w:rPr>
          <w:rFonts w:ascii="仿宋" w:hAnsi="仿宋" w:eastAsia="仿宋"/>
          <w:szCs w:val="21"/>
          <w:highlight w:val="none"/>
        </w:rPr>
        <w:t>日</w:t>
      </w:r>
      <w:r>
        <w:rPr>
          <w:rFonts w:hint="eastAsia" w:ascii="仿宋" w:hAnsi="仿宋" w:eastAsia="仿宋"/>
          <w:szCs w:val="21"/>
          <w:highlight w:val="none"/>
        </w:rPr>
        <w:t>上午9:00。</w:t>
      </w:r>
    </w:p>
    <w:p w14:paraId="4B88F6BB">
      <w:pPr>
        <w:rPr>
          <w:rFonts w:ascii="仿宋" w:hAnsi="仿宋" w:eastAsia="仿宋"/>
          <w:szCs w:val="21"/>
          <w:highlight w:val="none"/>
        </w:rPr>
      </w:pPr>
      <w:r>
        <w:rPr>
          <w:rFonts w:hint="eastAsia" w:ascii="仿宋" w:hAnsi="仿宋" w:eastAsia="仿宋"/>
          <w:szCs w:val="21"/>
          <w:highlight w:val="none"/>
        </w:rPr>
        <w:t>2、拟参与询价公司要提供详细的名 称、型号、技术指标及供货时间。</w:t>
      </w:r>
    </w:p>
    <w:p w14:paraId="3178A3A4">
      <w:pPr>
        <w:rPr>
          <w:rFonts w:ascii="仿宋" w:hAnsi="仿宋" w:eastAsia="仿宋"/>
          <w:szCs w:val="21"/>
          <w:highlight w:val="none"/>
        </w:rPr>
      </w:pPr>
      <w:r>
        <w:rPr>
          <w:rFonts w:hint="eastAsia" w:ascii="仿宋" w:hAnsi="仿宋" w:eastAsia="仿宋"/>
          <w:szCs w:val="21"/>
          <w:highlight w:val="none"/>
        </w:rPr>
        <w:t>3、报价均为福州现场交货人民币价。</w:t>
      </w:r>
    </w:p>
    <w:p w14:paraId="6EE3F9C4">
      <w:pPr>
        <w:rPr>
          <w:rFonts w:ascii="仿宋" w:hAnsi="仿宋" w:eastAsia="仿宋"/>
          <w:szCs w:val="21"/>
          <w:highlight w:val="none"/>
        </w:rPr>
      </w:pPr>
      <w:r>
        <w:rPr>
          <w:rFonts w:hint="eastAsia" w:ascii="仿宋" w:hAnsi="仿宋" w:eastAsia="仿宋"/>
          <w:szCs w:val="21"/>
          <w:highlight w:val="none"/>
        </w:rPr>
        <w:t>4、询价单需要一式四份</w:t>
      </w:r>
    </w:p>
    <w:p w14:paraId="005FBA8C">
      <w:pPr>
        <w:rPr>
          <w:rFonts w:ascii="仿宋" w:hAnsi="仿宋" w:eastAsia="仿宋"/>
          <w:szCs w:val="21"/>
          <w:highlight w:val="none"/>
        </w:rPr>
      </w:pPr>
      <w:r>
        <w:rPr>
          <w:rFonts w:hint="eastAsia" w:ascii="仿宋" w:hAnsi="仿宋" w:eastAsia="仿宋"/>
          <w:szCs w:val="21"/>
          <w:highlight w:val="none"/>
        </w:rPr>
        <w:t xml:space="preserve">5、询价时间和地点:时间-- </w:t>
      </w:r>
      <w:r>
        <w:rPr>
          <w:rFonts w:ascii="仿宋" w:hAnsi="仿宋" w:eastAsia="仿宋"/>
          <w:szCs w:val="21"/>
          <w:highlight w:val="none"/>
        </w:rPr>
        <w:t>20</w:t>
      </w:r>
      <w:r>
        <w:rPr>
          <w:rFonts w:hint="eastAsia" w:ascii="仿宋" w:hAnsi="仿宋" w:eastAsia="仿宋"/>
          <w:szCs w:val="21"/>
          <w:highlight w:val="none"/>
        </w:rPr>
        <w:t>2</w:t>
      </w:r>
      <w:r>
        <w:rPr>
          <w:rFonts w:hint="eastAsia" w:ascii="仿宋" w:hAnsi="仿宋" w:eastAsia="仿宋"/>
          <w:szCs w:val="21"/>
          <w:highlight w:val="none"/>
          <w:lang w:val="en-US" w:eastAsia="zh-CN"/>
        </w:rPr>
        <w:t>6</w:t>
      </w:r>
      <w:r>
        <w:rPr>
          <w:rFonts w:ascii="仿宋" w:hAnsi="仿宋" w:eastAsia="仿宋"/>
          <w:szCs w:val="21"/>
          <w:highlight w:val="none"/>
        </w:rPr>
        <w:t>年</w:t>
      </w:r>
      <w:r>
        <w:rPr>
          <w:rFonts w:hint="eastAsia" w:ascii="仿宋" w:hAnsi="仿宋" w:eastAsia="仿宋"/>
          <w:szCs w:val="21"/>
          <w:highlight w:val="none"/>
          <w:lang w:val="en-US" w:eastAsia="zh-CN"/>
        </w:rPr>
        <w:t>7</w:t>
      </w:r>
      <w:r>
        <w:rPr>
          <w:rFonts w:ascii="仿宋" w:hAnsi="仿宋" w:eastAsia="仿宋"/>
          <w:szCs w:val="21"/>
          <w:highlight w:val="none"/>
        </w:rPr>
        <w:t>月</w:t>
      </w:r>
      <w:r>
        <w:rPr>
          <w:rFonts w:hint="eastAsia" w:ascii="仿宋" w:hAnsi="仿宋" w:eastAsia="仿宋"/>
          <w:szCs w:val="21"/>
          <w:highlight w:val="none"/>
          <w:lang w:val="en-US" w:eastAsia="zh-CN"/>
        </w:rPr>
        <w:t>8</w:t>
      </w:r>
      <w:bookmarkStart w:id="7" w:name="_GoBack"/>
      <w:bookmarkEnd w:id="7"/>
      <w:r>
        <w:rPr>
          <w:rFonts w:ascii="仿宋" w:hAnsi="仿宋" w:eastAsia="仿宋"/>
          <w:szCs w:val="21"/>
          <w:highlight w:val="none"/>
        </w:rPr>
        <w:t>日</w:t>
      </w:r>
      <w:r>
        <w:rPr>
          <w:rFonts w:hint="eastAsia" w:ascii="仿宋" w:hAnsi="仿宋" w:eastAsia="仿宋"/>
          <w:szCs w:val="21"/>
          <w:highlight w:val="none"/>
        </w:rPr>
        <w:t>上午9:00，地点：福建中医药大学康复大楼514会议室。</w:t>
      </w:r>
    </w:p>
    <w:p w14:paraId="2299BCAD">
      <w:pPr>
        <w:rPr>
          <w:rFonts w:ascii="仿宋" w:hAnsi="仿宋" w:eastAsia="仿宋"/>
          <w:b/>
          <w:szCs w:val="21"/>
          <w:highlight w:val="none"/>
        </w:rPr>
      </w:pPr>
      <w:r>
        <w:rPr>
          <w:rFonts w:hint="eastAsia" w:ascii="仿宋" w:hAnsi="仿宋" w:eastAsia="仿宋"/>
          <w:szCs w:val="21"/>
          <w:highlight w:val="none"/>
        </w:rPr>
        <w:t>6、</w:t>
      </w:r>
      <w:r>
        <w:rPr>
          <w:rFonts w:hint="eastAsia" w:ascii="仿宋" w:hAnsi="仿宋" w:eastAsia="仿宋"/>
          <w:b/>
          <w:szCs w:val="21"/>
          <w:highlight w:val="none"/>
        </w:rPr>
        <w:t>询价材料须装订或胶装成册</w:t>
      </w:r>
    </w:p>
    <w:p w14:paraId="0CDB2391">
      <w:pPr>
        <w:rPr>
          <w:rFonts w:ascii="仿宋" w:hAnsi="仿宋" w:eastAsia="仿宋"/>
          <w:color w:val="000000"/>
          <w:szCs w:val="21"/>
          <w:highlight w:val="none"/>
        </w:rPr>
      </w:pPr>
      <w:r>
        <w:rPr>
          <w:rFonts w:hint="eastAsia" w:ascii="仿宋" w:hAnsi="仿宋" w:eastAsia="仿宋"/>
          <w:b/>
          <w:szCs w:val="21"/>
          <w:highlight w:val="none"/>
        </w:rPr>
        <w:t>7、询价文件包括但不限于以下材料：公司三证复印件，询价授权函、询价人身份证复印件、报价单（名称、规格型号、数量、产地、价格等）、技术规格偏离表、售后商务表（培训、安装、到货、质保期等）、彩页。</w:t>
      </w:r>
    </w:p>
    <w:p w14:paraId="05E7D96E">
      <w:pPr>
        <w:widowControl/>
        <w:jc w:val="left"/>
        <w:rPr>
          <w:highlight w:val="none"/>
        </w:rPr>
      </w:pPr>
      <w:r>
        <w:rPr>
          <w:highlight w:val="none"/>
        </w:rPr>
        <w:br w:type="page"/>
      </w:r>
    </w:p>
    <w:p w14:paraId="41EC48AA">
      <w:pPr>
        <w:jc w:val="center"/>
        <w:rPr>
          <w:rFonts w:ascii="仿宋" w:hAnsi="仿宋" w:eastAsia="仿宋"/>
          <w:color w:val="000000"/>
          <w:sz w:val="28"/>
          <w:szCs w:val="28"/>
          <w:highlight w:val="none"/>
        </w:rPr>
      </w:pPr>
      <w:r>
        <w:rPr>
          <w:rFonts w:hint="eastAsia" w:ascii="仿宋" w:hAnsi="仿宋" w:eastAsia="仿宋"/>
          <w:color w:val="000000"/>
          <w:sz w:val="28"/>
          <w:szCs w:val="28"/>
          <w:highlight w:val="none"/>
        </w:rPr>
        <w:t>技术规格偏离表</w:t>
      </w:r>
    </w:p>
    <w:p w14:paraId="61B12678">
      <w:pPr>
        <w:tabs>
          <w:tab w:val="left" w:pos="5355"/>
        </w:tabs>
        <w:rPr>
          <w:rFonts w:ascii="仿宋" w:hAnsi="仿宋" w:eastAsia="仿宋"/>
          <w:color w:val="000000"/>
          <w:szCs w:val="21"/>
          <w:highlight w:val="none"/>
        </w:rPr>
      </w:pPr>
      <w:r>
        <w:rPr>
          <w:rFonts w:hint="eastAsia" w:ascii="仿宋" w:hAnsi="仿宋" w:eastAsia="仿宋"/>
          <w:color w:val="000000"/>
          <w:szCs w:val="21"/>
          <w:highlight w:val="none"/>
        </w:rPr>
        <w:t>报价方名 称（全称）：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4262"/>
        <w:gridCol w:w="4262"/>
        <w:gridCol w:w="4262"/>
      </w:tblGrid>
      <w:tr w14:paraId="3BC5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649" w:type="dxa"/>
            <w:vAlign w:val="center"/>
          </w:tcPr>
          <w:p w14:paraId="520A1A67">
            <w:pPr>
              <w:tabs>
                <w:tab w:val="left" w:pos="5355"/>
              </w:tabs>
              <w:ind w:right="-15" w:rightChars="-7"/>
              <w:jc w:val="center"/>
              <w:rPr>
                <w:rFonts w:ascii="仿宋" w:hAnsi="仿宋" w:eastAsia="仿宋"/>
                <w:color w:val="000000"/>
                <w:spacing w:val="-10"/>
                <w:szCs w:val="21"/>
                <w:highlight w:val="none"/>
              </w:rPr>
            </w:pPr>
            <w:r>
              <w:rPr>
                <w:rFonts w:hint="eastAsia" w:ascii="仿宋" w:hAnsi="仿宋" w:eastAsia="仿宋"/>
                <w:color w:val="000000"/>
                <w:spacing w:val="-10"/>
                <w:szCs w:val="21"/>
                <w:highlight w:val="none"/>
              </w:rPr>
              <w:t>序号</w:t>
            </w:r>
          </w:p>
        </w:tc>
        <w:tc>
          <w:tcPr>
            <w:tcW w:w="4262" w:type="dxa"/>
            <w:vAlign w:val="center"/>
          </w:tcPr>
          <w:p w14:paraId="4B76D8AC">
            <w:pPr>
              <w:tabs>
                <w:tab w:val="left" w:pos="5355"/>
              </w:tabs>
              <w:ind w:right="-15" w:rightChars="-7"/>
              <w:jc w:val="center"/>
              <w:rPr>
                <w:rFonts w:ascii="仿宋" w:hAnsi="仿宋" w:eastAsia="仿宋"/>
                <w:color w:val="000000"/>
                <w:spacing w:val="-10"/>
                <w:szCs w:val="21"/>
                <w:highlight w:val="none"/>
              </w:rPr>
            </w:pPr>
            <w:r>
              <w:rPr>
                <w:rFonts w:hint="eastAsia" w:ascii="仿宋" w:hAnsi="仿宋" w:eastAsia="仿宋"/>
                <w:color w:val="000000"/>
                <w:spacing w:val="-10"/>
                <w:szCs w:val="21"/>
                <w:highlight w:val="none"/>
              </w:rPr>
              <w:t>技 术 要 求</w:t>
            </w:r>
          </w:p>
        </w:tc>
        <w:tc>
          <w:tcPr>
            <w:tcW w:w="4262" w:type="dxa"/>
            <w:vAlign w:val="center"/>
          </w:tcPr>
          <w:p w14:paraId="438CE3AF">
            <w:pPr>
              <w:tabs>
                <w:tab w:val="left" w:pos="5355"/>
              </w:tabs>
              <w:ind w:right="-15" w:rightChars="-7"/>
              <w:jc w:val="center"/>
              <w:rPr>
                <w:rFonts w:ascii="仿宋" w:hAnsi="仿宋" w:eastAsia="仿宋"/>
                <w:color w:val="000000"/>
                <w:spacing w:val="-10"/>
                <w:szCs w:val="21"/>
                <w:highlight w:val="none"/>
              </w:rPr>
            </w:pPr>
            <w:r>
              <w:rPr>
                <w:rFonts w:hint="eastAsia" w:ascii="仿宋" w:hAnsi="仿宋" w:eastAsia="仿宋"/>
                <w:color w:val="000000"/>
                <w:spacing w:val="-10"/>
                <w:szCs w:val="21"/>
                <w:highlight w:val="none"/>
              </w:rPr>
              <w:t xml:space="preserve"> 响 应 情 况</w:t>
            </w:r>
          </w:p>
        </w:tc>
        <w:tc>
          <w:tcPr>
            <w:tcW w:w="4262" w:type="dxa"/>
            <w:vAlign w:val="center"/>
          </w:tcPr>
          <w:p w14:paraId="65A6065E">
            <w:pPr>
              <w:tabs>
                <w:tab w:val="left" w:pos="5355"/>
              </w:tabs>
              <w:ind w:right="-15" w:rightChars="-7"/>
              <w:jc w:val="center"/>
              <w:rPr>
                <w:rFonts w:ascii="仿宋" w:hAnsi="仿宋" w:eastAsia="仿宋"/>
                <w:color w:val="000000"/>
                <w:spacing w:val="-10"/>
                <w:szCs w:val="21"/>
                <w:highlight w:val="none"/>
              </w:rPr>
            </w:pPr>
            <w:r>
              <w:rPr>
                <w:rFonts w:hint="eastAsia" w:ascii="仿宋" w:hAnsi="仿宋" w:eastAsia="仿宋"/>
                <w:color w:val="000000"/>
                <w:spacing w:val="-10"/>
                <w:szCs w:val="21"/>
                <w:highlight w:val="none"/>
              </w:rPr>
              <w:t>偏 离 说 明</w:t>
            </w:r>
          </w:p>
        </w:tc>
      </w:tr>
      <w:tr w14:paraId="2A70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199E90BC">
            <w:pPr>
              <w:tabs>
                <w:tab w:val="left" w:pos="5355"/>
              </w:tabs>
              <w:jc w:val="center"/>
              <w:rPr>
                <w:rFonts w:ascii="仿宋" w:hAnsi="仿宋" w:eastAsia="仿宋"/>
                <w:color w:val="000000"/>
                <w:szCs w:val="21"/>
                <w:highlight w:val="none"/>
              </w:rPr>
            </w:pPr>
          </w:p>
        </w:tc>
        <w:tc>
          <w:tcPr>
            <w:tcW w:w="4262" w:type="dxa"/>
            <w:vAlign w:val="center"/>
          </w:tcPr>
          <w:p w14:paraId="238ECEA1">
            <w:pPr>
              <w:jc w:val="center"/>
              <w:rPr>
                <w:rFonts w:ascii="仿宋" w:hAnsi="仿宋" w:eastAsia="仿宋"/>
                <w:color w:val="000000"/>
                <w:szCs w:val="21"/>
                <w:highlight w:val="none"/>
                <w:u w:val="single"/>
              </w:rPr>
            </w:pPr>
          </w:p>
        </w:tc>
        <w:tc>
          <w:tcPr>
            <w:tcW w:w="4262" w:type="dxa"/>
            <w:vAlign w:val="center"/>
          </w:tcPr>
          <w:p w14:paraId="250C9AC6">
            <w:pPr>
              <w:tabs>
                <w:tab w:val="left" w:pos="5355"/>
              </w:tabs>
              <w:rPr>
                <w:rFonts w:ascii="仿宋" w:hAnsi="仿宋" w:eastAsia="仿宋"/>
                <w:color w:val="000000"/>
                <w:szCs w:val="21"/>
                <w:highlight w:val="none"/>
              </w:rPr>
            </w:pPr>
          </w:p>
        </w:tc>
        <w:tc>
          <w:tcPr>
            <w:tcW w:w="4262" w:type="dxa"/>
            <w:vAlign w:val="center"/>
          </w:tcPr>
          <w:p w14:paraId="3A2B1DAA">
            <w:pPr>
              <w:tabs>
                <w:tab w:val="left" w:pos="5355"/>
              </w:tabs>
              <w:rPr>
                <w:rFonts w:ascii="仿宋" w:hAnsi="仿宋" w:eastAsia="仿宋"/>
                <w:color w:val="000000"/>
                <w:szCs w:val="21"/>
                <w:highlight w:val="none"/>
              </w:rPr>
            </w:pPr>
          </w:p>
        </w:tc>
      </w:tr>
      <w:tr w14:paraId="0764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76D19606">
            <w:pPr>
              <w:tabs>
                <w:tab w:val="left" w:pos="5355"/>
              </w:tabs>
              <w:jc w:val="center"/>
              <w:rPr>
                <w:rFonts w:ascii="仿宋" w:hAnsi="仿宋" w:eastAsia="仿宋"/>
                <w:color w:val="000000"/>
                <w:szCs w:val="21"/>
                <w:highlight w:val="none"/>
              </w:rPr>
            </w:pPr>
          </w:p>
        </w:tc>
        <w:tc>
          <w:tcPr>
            <w:tcW w:w="4262" w:type="dxa"/>
            <w:vAlign w:val="center"/>
          </w:tcPr>
          <w:p w14:paraId="2C4151FA">
            <w:pPr>
              <w:jc w:val="center"/>
              <w:rPr>
                <w:rFonts w:ascii="仿宋" w:hAnsi="仿宋" w:eastAsia="仿宋"/>
                <w:color w:val="000000"/>
                <w:szCs w:val="21"/>
                <w:highlight w:val="none"/>
              </w:rPr>
            </w:pPr>
          </w:p>
        </w:tc>
        <w:tc>
          <w:tcPr>
            <w:tcW w:w="4262" w:type="dxa"/>
            <w:vAlign w:val="center"/>
          </w:tcPr>
          <w:p w14:paraId="4E60A40F">
            <w:pPr>
              <w:tabs>
                <w:tab w:val="left" w:pos="5355"/>
              </w:tabs>
              <w:rPr>
                <w:rFonts w:ascii="仿宋" w:hAnsi="仿宋" w:eastAsia="仿宋"/>
                <w:color w:val="000000"/>
                <w:szCs w:val="21"/>
                <w:highlight w:val="none"/>
              </w:rPr>
            </w:pPr>
          </w:p>
        </w:tc>
        <w:tc>
          <w:tcPr>
            <w:tcW w:w="4262" w:type="dxa"/>
            <w:vAlign w:val="center"/>
          </w:tcPr>
          <w:p w14:paraId="3DC8EB1C">
            <w:pPr>
              <w:tabs>
                <w:tab w:val="left" w:pos="5355"/>
              </w:tabs>
              <w:rPr>
                <w:rFonts w:ascii="仿宋" w:hAnsi="仿宋" w:eastAsia="仿宋"/>
                <w:color w:val="000000"/>
                <w:szCs w:val="21"/>
                <w:highlight w:val="none"/>
              </w:rPr>
            </w:pPr>
          </w:p>
        </w:tc>
      </w:tr>
      <w:tr w14:paraId="0205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1542DF2B">
            <w:pPr>
              <w:tabs>
                <w:tab w:val="left" w:pos="5355"/>
              </w:tabs>
              <w:jc w:val="center"/>
              <w:rPr>
                <w:rFonts w:ascii="仿宋" w:hAnsi="仿宋" w:eastAsia="仿宋"/>
                <w:color w:val="000000"/>
                <w:szCs w:val="21"/>
                <w:highlight w:val="none"/>
              </w:rPr>
            </w:pPr>
          </w:p>
        </w:tc>
        <w:tc>
          <w:tcPr>
            <w:tcW w:w="4262" w:type="dxa"/>
            <w:vAlign w:val="center"/>
          </w:tcPr>
          <w:p w14:paraId="2B11A1C2">
            <w:pPr>
              <w:tabs>
                <w:tab w:val="left" w:pos="5355"/>
              </w:tabs>
              <w:rPr>
                <w:rFonts w:ascii="仿宋" w:hAnsi="仿宋" w:eastAsia="仿宋"/>
                <w:color w:val="000000"/>
                <w:szCs w:val="21"/>
                <w:highlight w:val="none"/>
              </w:rPr>
            </w:pPr>
          </w:p>
        </w:tc>
        <w:tc>
          <w:tcPr>
            <w:tcW w:w="4262" w:type="dxa"/>
            <w:vAlign w:val="center"/>
          </w:tcPr>
          <w:p w14:paraId="3D8D67B4">
            <w:pPr>
              <w:tabs>
                <w:tab w:val="left" w:pos="5355"/>
              </w:tabs>
              <w:rPr>
                <w:rFonts w:ascii="仿宋" w:hAnsi="仿宋" w:eastAsia="仿宋"/>
                <w:color w:val="000000"/>
                <w:szCs w:val="21"/>
                <w:highlight w:val="none"/>
              </w:rPr>
            </w:pPr>
          </w:p>
        </w:tc>
        <w:tc>
          <w:tcPr>
            <w:tcW w:w="4262" w:type="dxa"/>
            <w:vAlign w:val="center"/>
          </w:tcPr>
          <w:p w14:paraId="5BD5253B">
            <w:pPr>
              <w:tabs>
                <w:tab w:val="left" w:pos="5355"/>
              </w:tabs>
              <w:rPr>
                <w:rFonts w:ascii="仿宋" w:hAnsi="仿宋" w:eastAsia="仿宋"/>
                <w:color w:val="000000"/>
                <w:szCs w:val="21"/>
                <w:highlight w:val="none"/>
              </w:rPr>
            </w:pPr>
          </w:p>
        </w:tc>
      </w:tr>
      <w:tr w14:paraId="5B61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253B5096">
            <w:pPr>
              <w:tabs>
                <w:tab w:val="left" w:pos="5355"/>
              </w:tabs>
              <w:jc w:val="center"/>
              <w:rPr>
                <w:rFonts w:ascii="仿宋" w:hAnsi="仿宋" w:eastAsia="仿宋"/>
                <w:color w:val="000000"/>
                <w:szCs w:val="21"/>
                <w:highlight w:val="none"/>
              </w:rPr>
            </w:pPr>
          </w:p>
        </w:tc>
        <w:tc>
          <w:tcPr>
            <w:tcW w:w="4262" w:type="dxa"/>
            <w:vAlign w:val="center"/>
          </w:tcPr>
          <w:p w14:paraId="3E4429AA">
            <w:pPr>
              <w:tabs>
                <w:tab w:val="left" w:pos="5355"/>
              </w:tabs>
              <w:rPr>
                <w:rFonts w:ascii="仿宋" w:hAnsi="仿宋" w:eastAsia="仿宋"/>
                <w:color w:val="000000"/>
                <w:szCs w:val="21"/>
                <w:highlight w:val="none"/>
              </w:rPr>
            </w:pPr>
          </w:p>
        </w:tc>
        <w:tc>
          <w:tcPr>
            <w:tcW w:w="4262" w:type="dxa"/>
            <w:vAlign w:val="center"/>
          </w:tcPr>
          <w:p w14:paraId="50A1A819">
            <w:pPr>
              <w:tabs>
                <w:tab w:val="left" w:pos="5355"/>
              </w:tabs>
              <w:rPr>
                <w:rFonts w:ascii="仿宋" w:hAnsi="仿宋" w:eastAsia="仿宋"/>
                <w:color w:val="000000"/>
                <w:szCs w:val="21"/>
                <w:highlight w:val="none"/>
              </w:rPr>
            </w:pPr>
          </w:p>
        </w:tc>
        <w:tc>
          <w:tcPr>
            <w:tcW w:w="4262" w:type="dxa"/>
            <w:vAlign w:val="center"/>
          </w:tcPr>
          <w:p w14:paraId="747DB0A0">
            <w:pPr>
              <w:tabs>
                <w:tab w:val="left" w:pos="5355"/>
              </w:tabs>
              <w:rPr>
                <w:rFonts w:ascii="仿宋" w:hAnsi="仿宋" w:eastAsia="仿宋"/>
                <w:color w:val="000000"/>
                <w:szCs w:val="21"/>
                <w:highlight w:val="none"/>
              </w:rPr>
            </w:pPr>
          </w:p>
        </w:tc>
      </w:tr>
      <w:tr w14:paraId="3F56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7A94CD55">
            <w:pPr>
              <w:tabs>
                <w:tab w:val="left" w:pos="5355"/>
              </w:tabs>
              <w:jc w:val="center"/>
              <w:rPr>
                <w:rFonts w:ascii="仿宋" w:hAnsi="仿宋" w:eastAsia="仿宋"/>
                <w:color w:val="000000"/>
                <w:szCs w:val="21"/>
                <w:highlight w:val="none"/>
              </w:rPr>
            </w:pPr>
          </w:p>
        </w:tc>
        <w:tc>
          <w:tcPr>
            <w:tcW w:w="4262" w:type="dxa"/>
            <w:vAlign w:val="center"/>
          </w:tcPr>
          <w:p w14:paraId="0921B777">
            <w:pPr>
              <w:tabs>
                <w:tab w:val="left" w:pos="5355"/>
              </w:tabs>
              <w:rPr>
                <w:rFonts w:ascii="仿宋" w:hAnsi="仿宋" w:eastAsia="仿宋"/>
                <w:color w:val="000000"/>
                <w:szCs w:val="21"/>
                <w:highlight w:val="none"/>
              </w:rPr>
            </w:pPr>
          </w:p>
        </w:tc>
        <w:tc>
          <w:tcPr>
            <w:tcW w:w="4262" w:type="dxa"/>
            <w:vAlign w:val="center"/>
          </w:tcPr>
          <w:p w14:paraId="76A93D27">
            <w:pPr>
              <w:tabs>
                <w:tab w:val="left" w:pos="5355"/>
              </w:tabs>
              <w:rPr>
                <w:rFonts w:ascii="仿宋" w:hAnsi="仿宋" w:eastAsia="仿宋"/>
                <w:color w:val="000000"/>
                <w:szCs w:val="21"/>
                <w:highlight w:val="none"/>
              </w:rPr>
            </w:pPr>
          </w:p>
        </w:tc>
        <w:tc>
          <w:tcPr>
            <w:tcW w:w="4262" w:type="dxa"/>
            <w:vAlign w:val="center"/>
          </w:tcPr>
          <w:p w14:paraId="1D56EC97">
            <w:pPr>
              <w:tabs>
                <w:tab w:val="left" w:pos="5355"/>
              </w:tabs>
              <w:rPr>
                <w:rFonts w:ascii="仿宋" w:hAnsi="仿宋" w:eastAsia="仿宋"/>
                <w:color w:val="000000"/>
                <w:szCs w:val="21"/>
                <w:highlight w:val="none"/>
              </w:rPr>
            </w:pPr>
          </w:p>
        </w:tc>
      </w:tr>
      <w:tr w14:paraId="5B00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354659CA">
            <w:pPr>
              <w:tabs>
                <w:tab w:val="left" w:pos="5355"/>
              </w:tabs>
              <w:jc w:val="center"/>
              <w:rPr>
                <w:rFonts w:ascii="仿宋" w:hAnsi="仿宋" w:eastAsia="仿宋"/>
                <w:color w:val="000000"/>
                <w:szCs w:val="21"/>
                <w:highlight w:val="none"/>
              </w:rPr>
            </w:pPr>
          </w:p>
        </w:tc>
        <w:tc>
          <w:tcPr>
            <w:tcW w:w="4262" w:type="dxa"/>
            <w:vAlign w:val="center"/>
          </w:tcPr>
          <w:p w14:paraId="33709EDD">
            <w:pPr>
              <w:tabs>
                <w:tab w:val="left" w:pos="5355"/>
              </w:tabs>
              <w:rPr>
                <w:rFonts w:ascii="仿宋" w:hAnsi="仿宋" w:eastAsia="仿宋"/>
                <w:color w:val="000000"/>
                <w:szCs w:val="21"/>
                <w:highlight w:val="none"/>
              </w:rPr>
            </w:pPr>
          </w:p>
        </w:tc>
        <w:tc>
          <w:tcPr>
            <w:tcW w:w="4262" w:type="dxa"/>
            <w:vAlign w:val="center"/>
          </w:tcPr>
          <w:p w14:paraId="28EF87F4">
            <w:pPr>
              <w:tabs>
                <w:tab w:val="left" w:pos="5355"/>
              </w:tabs>
              <w:rPr>
                <w:rFonts w:ascii="仿宋" w:hAnsi="仿宋" w:eastAsia="仿宋"/>
                <w:color w:val="000000"/>
                <w:szCs w:val="21"/>
                <w:highlight w:val="none"/>
              </w:rPr>
            </w:pPr>
          </w:p>
        </w:tc>
        <w:tc>
          <w:tcPr>
            <w:tcW w:w="4262" w:type="dxa"/>
            <w:vAlign w:val="center"/>
          </w:tcPr>
          <w:p w14:paraId="1A311C8D">
            <w:pPr>
              <w:tabs>
                <w:tab w:val="left" w:pos="5355"/>
              </w:tabs>
              <w:rPr>
                <w:rFonts w:ascii="仿宋" w:hAnsi="仿宋" w:eastAsia="仿宋"/>
                <w:color w:val="000000"/>
                <w:szCs w:val="21"/>
                <w:highlight w:val="none"/>
              </w:rPr>
            </w:pPr>
          </w:p>
        </w:tc>
      </w:tr>
      <w:tr w14:paraId="2B9D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vAlign w:val="center"/>
          </w:tcPr>
          <w:p w14:paraId="56A4BF7E">
            <w:pPr>
              <w:tabs>
                <w:tab w:val="left" w:pos="5355"/>
              </w:tabs>
              <w:jc w:val="center"/>
              <w:rPr>
                <w:rFonts w:ascii="仿宋" w:hAnsi="仿宋" w:eastAsia="仿宋"/>
                <w:color w:val="000000"/>
                <w:szCs w:val="21"/>
                <w:highlight w:val="none"/>
              </w:rPr>
            </w:pPr>
          </w:p>
        </w:tc>
        <w:tc>
          <w:tcPr>
            <w:tcW w:w="4262" w:type="dxa"/>
            <w:vAlign w:val="center"/>
          </w:tcPr>
          <w:p w14:paraId="74EDF31B">
            <w:pPr>
              <w:tabs>
                <w:tab w:val="left" w:pos="5355"/>
              </w:tabs>
              <w:rPr>
                <w:rFonts w:ascii="仿宋" w:hAnsi="仿宋" w:eastAsia="仿宋"/>
                <w:color w:val="000000"/>
                <w:szCs w:val="21"/>
                <w:highlight w:val="none"/>
              </w:rPr>
            </w:pPr>
          </w:p>
        </w:tc>
        <w:tc>
          <w:tcPr>
            <w:tcW w:w="4262" w:type="dxa"/>
            <w:vAlign w:val="center"/>
          </w:tcPr>
          <w:p w14:paraId="0CF0B4B9">
            <w:pPr>
              <w:tabs>
                <w:tab w:val="left" w:pos="5355"/>
              </w:tabs>
              <w:rPr>
                <w:rFonts w:ascii="仿宋" w:hAnsi="仿宋" w:eastAsia="仿宋"/>
                <w:color w:val="000000"/>
                <w:szCs w:val="21"/>
                <w:highlight w:val="none"/>
              </w:rPr>
            </w:pPr>
          </w:p>
        </w:tc>
        <w:tc>
          <w:tcPr>
            <w:tcW w:w="4262" w:type="dxa"/>
            <w:vAlign w:val="center"/>
          </w:tcPr>
          <w:p w14:paraId="0B7E3F36">
            <w:pPr>
              <w:tabs>
                <w:tab w:val="left" w:pos="5355"/>
              </w:tabs>
              <w:rPr>
                <w:rFonts w:ascii="仿宋" w:hAnsi="仿宋" w:eastAsia="仿宋"/>
                <w:color w:val="000000"/>
                <w:szCs w:val="21"/>
                <w:highlight w:val="none"/>
              </w:rPr>
            </w:pPr>
          </w:p>
        </w:tc>
      </w:tr>
    </w:tbl>
    <w:p w14:paraId="7B5DC8A9">
      <w:pPr>
        <w:rPr>
          <w:rFonts w:ascii="仿宋" w:hAnsi="仿宋" w:eastAsia="仿宋"/>
          <w:szCs w:val="21"/>
          <w:highlight w:val="none"/>
        </w:rPr>
      </w:pPr>
    </w:p>
    <w:p w14:paraId="7556F77A">
      <w:pPr>
        <w:widowControl/>
        <w:jc w:val="left"/>
        <w:rPr>
          <w:highlight w:val="none"/>
        </w:rPr>
      </w:pPr>
      <w:r>
        <w:rPr>
          <w:highlight w:val="none"/>
        </w:rPr>
        <w:br w:type="page"/>
      </w:r>
    </w:p>
    <w:p w14:paraId="19643196">
      <w:pPr>
        <w:rPr>
          <w:highlight w:val="none"/>
        </w:rPr>
        <w:sectPr>
          <w:pgSz w:w="16838" w:h="11906" w:orient="landscape"/>
          <w:pgMar w:top="1800" w:right="1440" w:bottom="1800" w:left="1440" w:header="851" w:footer="992" w:gutter="0"/>
          <w:cols w:space="425" w:num="1"/>
          <w:docGrid w:type="lines" w:linePitch="312" w:charSpace="0"/>
        </w:sectPr>
      </w:pPr>
    </w:p>
    <w:p w14:paraId="4137EB8E">
      <w:pPr>
        <w:spacing w:line="360" w:lineRule="auto"/>
        <w:rPr>
          <w:rFonts w:ascii="仿宋" w:hAnsi="仿宋" w:eastAsia="仿宋"/>
          <w:b/>
          <w:highlight w:val="none"/>
        </w:rPr>
      </w:pPr>
      <w:r>
        <w:rPr>
          <w:rFonts w:hint="eastAsia" w:ascii="仿宋" w:hAnsi="仿宋" w:eastAsia="仿宋"/>
          <w:b/>
          <w:highlight w:val="none"/>
        </w:rPr>
        <w:t>附件：</w:t>
      </w:r>
    </w:p>
    <w:p w14:paraId="468BBD64">
      <w:pPr>
        <w:spacing w:line="360" w:lineRule="auto"/>
        <w:rPr>
          <w:rFonts w:ascii="仿宋" w:hAnsi="仿宋" w:eastAsia="仿宋"/>
          <w:b/>
          <w:highlight w:val="none"/>
        </w:rPr>
      </w:pPr>
      <w:r>
        <w:rPr>
          <w:rFonts w:hint="eastAsia" w:ascii="仿宋" w:hAnsi="仿宋" w:eastAsia="仿宋"/>
          <w:b/>
          <w:highlight w:val="none"/>
        </w:rPr>
        <w:t>技术参数指标：</w:t>
      </w:r>
    </w:p>
    <w:p w14:paraId="1980B7AF">
      <w:pPr>
        <w:rPr>
          <w:rFonts w:ascii="仿宋" w:hAnsi="仿宋" w:eastAsia="仿宋"/>
          <w:color w:val="000000"/>
          <w:szCs w:val="32"/>
          <w:highlight w:val="none"/>
        </w:rPr>
      </w:pPr>
      <w:r>
        <w:rPr>
          <w:rFonts w:hint="eastAsia" w:ascii="仿宋" w:hAnsi="仿宋" w:eastAsia="仿宋"/>
          <w:color w:val="000000"/>
          <w:szCs w:val="32"/>
          <w:highlight w:val="none"/>
        </w:rPr>
        <w:t>1. 采样速率：双眼均≥1500Hz；</w:t>
      </w:r>
    </w:p>
    <w:p w14:paraId="7A137336">
      <w:pPr>
        <w:rPr>
          <w:rFonts w:ascii="仿宋" w:hAnsi="仿宋" w:eastAsia="仿宋"/>
          <w:color w:val="000000"/>
          <w:szCs w:val="32"/>
          <w:highlight w:val="none"/>
        </w:rPr>
      </w:pPr>
      <w:r>
        <w:rPr>
          <w:rFonts w:hint="eastAsia" w:ascii="仿宋" w:hAnsi="仿宋" w:eastAsia="仿宋"/>
          <w:color w:val="000000"/>
          <w:szCs w:val="32"/>
          <w:highlight w:val="none"/>
        </w:rPr>
        <w:t>2. 分辨率：≤0.02°；</w:t>
      </w:r>
    </w:p>
    <w:p w14:paraId="5737D920">
      <w:pPr>
        <w:rPr>
          <w:rFonts w:ascii="仿宋" w:hAnsi="仿宋" w:eastAsia="仿宋"/>
          <w:color w:val="000000"/>
          <w:szCs w:val="32"/>
          <w:highlight w:val="none"/>
        </w:rPr>
      </w:pPr>
      <w:r>
        <w:rPr>
          <w:rFonts w:hint="eastAsia" w:ascii="仿宋" w:hAnsi="仿宋" w:eastAsia="仿宋"/>
          <w:color w:val="000000"/>
          <w:szCs w:val="32"/>
          <w:highlight w:val="none"/>
        </w:rPr>
        <w:t>3. 精度：≤0.5°；</w:t>
      </w:r>
    </w:p>
    <w:p w14:paraId="149179DE">
      <w:pPr>
        <w:rPr>
          <w:rFonts w:ascii="仿宋" w:hAnsi="仿宋" w:eastAsia="仿宋"/>
          <w:color w:val="000000"/>
          <w:szCs w:val="32"/>
          <w:highlight w:val="none"/>
        </w:rPr>
      </w:pPr>
      <w:r>
        <w:rPr>
          <w:rFonts w:hint="eastAsia" w:ascii="仿宋" w:hAnsi="仿宋" w:eastAsia="仿宋"/>
          <w:color w:val="000000"/>
          <w:szCs w:val="32"/>
          <w:highlight w:val="none"/>
        </w:rPr>
        <w:t>4. 实时追踪眼动延时：≤2ms；</w:t>
      </w:r>
    </w:p>
    <w:p w14:paraId="2BFCF9F0">
      <w:pPr>
        <w:rPr>
          <w:rFonts w:ascii="仿宋" w:hAnsi="仿宋" w:eastAsia="仿宋"/>
          <w:color w:val="000000"/>
          <w:szCs w:val="32"/>
          <w:highlight w:val="none"/>
        </w:rPr>
      </w:pPr>
      <w:r>
        <w:rPr>
          <w:rFonts w:hint="eastAsia" w:ascii="仿宋" w:hAnsi="仿宋" w:eastAsia="仿宋"/>
          <w:color w:val="000000"/>
          <w:szCs w:val="32"/>
          <w:highlight w:val="none"/>
        </w:rPr>
        <w:t>5. 头动范围：不小于20cm×20cm；</w:t>
      </w:r>
    </w:p>
    <w:p w14:paraId="230D402F">
      <w:pPr>
        <w:rPr>
          <w:rFonts w:ascii="仿宋" w:hAnsi="仿宋" w:eastAsia="仿宋"/>
          <w:color w:val="000000"/>
          <w:szCs w:val="32"/>
          <w:highlight w:val="none"/>
        </w:rPr>
      </w:pPr>
      <w:r>
        <w:rPr>
          <w:rFonts w:hint="eastAsia" w:ascii="仿宋" w:hAnsi="仿宋" w:eastAsia="仿宋"/>
          <w:color w:val="000000"/>
          <w:szCs w:val="32"/>
          <w:highlight w:val="none"/>
        </w:rPr>
        <w:t>6. 采集主机一体式设计，眼动数据采集相机与红外光源封装在一体，摄像头不外露，整套系统能够装入登机箱便携，适合于实验室外开展眼动研究；</w:t>
      </w:r>
    </w:p>
    <w:p w14:paraId="4E64164D">
      <w:pPr>
        <w:rPr>
          <w:rFonts w:ascii="仿宋" w:hAnsi="仿宋" w:eastAsia="仿宋"/>
          <w:color w:val="000000"/>
          <w:szCs w:val="32"/>
          <w:highlight w:val="none"/>
        </w:rPr>
      </w:pPr>
      <w:r>
        <w:rPr>
          <w:rFonts w:hint="eastAsia" w:ascii="仿宋" w:hAnsi="仿宋" w:eastAsia="仿宋"/>
          <w:color w:val="000000"/>
          <w:szCs w:val="32"/>
          <w:highlight w:val="none"/>
        </w:rPr>
        <w:t>7. 刺激呈现屏幕可以采用笔记本屏幕；</w:t>
      </w:r>
    </w:p>
    <w:p w14:paraId="70B86FE5">
      <w:pPr>
        <w:rPr>
          <w:rFonts w:ascii="仿宋" w:hAnsi="仿宋" w:eastAsia="仿宋"/>
          <w:color w:val="000000"/>
          <w:szCs w:val="32"/>
          <w:highlight w:val="none"/>
        </w:rPr>
      </w:pPr>
      <w:r>
        <w:rPr>
          <w:rFonts w:hint="eastAsia" w:ascii="仿宋" w:hAnsi="仿宋" w:eastAsia="仿宋"/>
          <w:color w:val="000000"/>
          <w:szCs w:val="32"/>
          <w:highlight w:val="none"/>
        </w:rPr>
        <w:t>8. 提供免费SDK程序接口，可与刺激软件E-prime3.0，数据处理软件Matlab1920结合使用；</w:t>
      </w:r>
    </w:p>
    <w:p w14:paraId="6EA9A1EB">
      <w:pPr>
        <w:rPr>
          <w:rFonts w:ascii="仿宋" w:hAnsi="仿宋" w:eastAsia="仿宋"/>
          <w:color w:val="000000"/>
          <w:szCs w:val="32"/>
          <w:highlight w:val="none"/>
        </w:rPr>
      </w:pPr>
      <w:r>
        <w:rPr>
          <w:rFonts w:hint="eastAsia" w:ascii="仿宋" w:hAnsi="仿宋" w:eastAsia="仿宋"/>
          <w:color w:val="000000"/>
          <w:szCs w:val="32"/>
          <w:highlight w:val="none"/>
        </w:rPr>
        <w:t>9. 系统支持多种操作系统，例如Windows、Mac、Linux；</w:t>
      </w:r>
    </w:p>
    <w:p w14:paraId="7CB5ACC7">
      <w:pPr>
        <w:rPr>
          <w:rFonts w:ascii="仿宋" w:hAnsi="仿宋" w:eastAsia="仿宋"/>
          <w:color w:val="000000"/>
          <w:szCs w:val="32"/>
          <w:highlight w:val="none"/>
        </w:rPr>
      </w:pPr>
      <w:r>
        <w:rPr>
          <w:rFonts w:hint="eastAsia" w:ascii="仿宋" w:hAnsi="仿宋" w:eastAsia="仿宋"/>
          <w:color w:val="000000"/>
          <w:szCs w:val="32"/>
          <w:highlight w:val="none"/>
        </w:rPr>
        <w:t>10. 提供与眼动仪硬件同品牌的眼动数据回放分析软件，可以生成注视、扫视、眨眼、采样点、兴趣区等600多种实验数据；生成单个被试或多个被试注视的热点图；可创建任意形状的静态和动态兴趣区；可以通过刺激变化、TTL输入信号、按键或时间等实验相关信息划分兴趣时间段；可同时处理多个被试的数据，并将眼动数据导出为Excel和txt格式；</w:t>
      </w:r>
    </w:p>
    <w:p w14:paraId="60B24A99">
      <w:pPr>
        <w:rPr>
          <w:rFonts w:ascii="仿宋" w:hAnsi="仿宋" w:eastAsia="仿宋"/>
          <w:color w:val="000000"/>
          <w:szCs w:val="32"/>
          <w:highlight w:val="none"/>
        </w:rPr>
      </w:pPr>
      <w:r>
        <w:rPr>
          <w:rFonts w:hint="eastAsia" w:ascii="仿宋" w:hAnsi="仿宋" w:eastAsia="仿宋"/>
          <w:color w:val="000000"/>
          <w:szCs w:val="32"/>
          <w:highlight w:val="none"/>
        </w:rPr>
        <w:t>11. 提供与眼动仪硬件同品牌的可视化实验设计软件；</w:t>
      </w:r>
    </w:p>
    <w:p w14:paraId="32E4B69C">
      <w:pPr>
        <w:rPr>
          <w:rFonts w:ascii="仿宋" w:hAnsi="仿宋" w:eastAsia="仿宋"/>
          <w:color w:val="000000"/>
          <w:szCs w:val="32"/>
          <w:highlight w:val="none"/>
        </w:rPr>
      </w:pPr>
      <w:r>
        <w:rPr>
          <w:rFonts w:hint="eastAsia" w:ascii="仿宋" w:hAnsi="仿宋" w:eastAsia="仿宋"/>
          <w:color w:val="000000"/>
          <w:szCs w:val="32"/>
          <w:highlight w:val="none"/>
        </w:rPr>
        <w:t>12. 系统支持文本、图片、音频、视频等多种组合方式作为刺激呈现；可支持按键、触摸屏、录音反应以及反应盒；支持眼动控制（如边界、采样速率、扫视和注视控制控件）；支持加载自定义变量和更新实验中的变量；</w:t>
      </w:r>
      <w:r>
        <w:rPr>
          <w:rFonts w:ascii="仿宋" w:hAnsi="仿宋" w:eastAsia="仿宋"/>
          <w:color w:val="000000"/>
          <w:szCs w:val="32"/>
          <w:highlight w:val="none"/>
        </w:rPr>
        <w:t xml:space="preserve"> </w:t>
      </w:r>
    </w:p>
    <w:p w14:paraId="0B3E4F26">
      <w:pPr>
        <w:rPr>
          <w:rFonts w:ascii="仿宋" w:hAnsi="仿宋" w:eastAsia="仿宋"/>
          <w:color w:val="000000"/>
          <w:szCs w:val="32"/>
          <w:highlight w:val="none"/>
        </w:rPr>
      </w:pPr>
      <w:r>
        <w:rPr>
          <w:rFonts w:hint="eastAsia" w:ascii="仿宋" w:hAnsi="仿宋" w:eastAsia="仿宋"/>
          <w:color w:val="000000"/>
          <w:szCs w:val="32"/>
          <w:highlight w:val="none"/>
        </w:rPr>
        <w:t>13. 在阅读研究中可用单词、短语或字符自动划分兴趣区域；可实现注视相关刺激的控制（移动窗口和边界范式）；</w:t>
      </w:r>
    </w:p>
    <w:p w14:paraId="706F1B6D">
      <w:pPr>
        <w:rPr>
          <w:rFonts w:ascii="仿宋" w:hAnsi="仿宋" w:eastAsia="仿宋"/>
          <w:color w:val="000000"/>
          <w:szCs w:val="32"/>
          <w:highlight w:val="none"/>
        </w:rPr>
      </w:pPr>
      <w:r>
        <w:rPr>
          <w:rFonts w:hint="eastAsia" w:ascii="仿宋" w:hAnsi="仿宋" w:eastAsia="仿宋"/>
          <w:color w:val="000000"/>
          <w:szCs w:val="32"/>
          <w:highlight w:val="none"/>
        </w:rPr>
        <w:t>14.</w:t>
      </w:r>
      <w:r>
        <w:rPr>
          <w:rFonts w:hint="eastAsia" w:ascii="仿宋" w:hAnsi="仿宋" w:eastAsia="仿宋"/>
          <w:color w:val="000000"/>
          <w:szCs w:val="32"/>
          <w:highlight w:val="none"/>
          <w:lang w:val="en-US" w:eastAsia="zh-CN"/>
        </w:rPr>
        <w:t xml:space="preserve"> </w:t>
      </w:r>
      <w:r>
        <w:rPr>
          <w:rFonts w:hint="eastAsia" w:ascii="仿宋" w:hAnsi="仿宋" w:eastAsia="仿宋"/>
          <w:color w:val="000000"/>
          <w:szCs w:val="32"/>
          <w:highlight w:val="none"/>
        </w:rPr>
        <w:t>系统可兼容第三方软件，例如E-prime、Psychtoolbox、Presentation、Python等；</w:t>
      </w:r>
    </w:p>
    <w:p w14:paraId="717C0E65">
      <w:pPr>
        <w:rPr>
          <w:rFonts w:ascii="仿宋" w:hAnsi="仿宋" w:eastAsia="仿宋"/>
          <w:color w:val="000000"/>
          <w:szCs w:val="32"/>
          <w:highlight w:val="none"/>
        </w:rPr>
      </w:pPr>
      <w:r>
        <w:rPr>
          <w:rFonts w:hint="eastAsia" w:ascii="仿宋" w:hAnsi="仿宋" w:eastAsia="仿宋"/>
          <w:color w:val="000000"/>
          <w:szCs w:val="32"/>
          <w:highlight w:val="none"/>
        </w:rPr>
        <w:t>15. 在国际上有大量文献发表，</w:t>
      </w:r>
      <w:r>
        <w:rPr>
          <w:rFonts w:hint="eastAsia" w:ascii="仿宋" w:hAnsi="仿宋" w:eastAsia="仿宋"/>
          <w:b/>
          <w:bCs/>
          <w:color w:val="000000"/>
          <w:szCs w:val="32"/>
          <w:highlight w:val="none"/>
        </w:rPr>
        <w:t>需提供不少于150篇</w:t>
      </w:r>
      <w:r>
        <w:rPr>
          <w:rFonts w:ascii="仿宋" w:hAnsi="仿宋" w:eastAsia="仿宋"/>
          <w:b/>
          <w:bCs/>
          <w:color w:val="000000"/>
          <w:szCs w:val="32"/>
          <w:highlight w:val="none"/>
        </w:rPr>
        <w:t>SCI论文目录</w:t>
      </w:r>
      <w:r>
        <w:rPr>
          <w:rFonts w:hint="eastAsia" w:ascii="仿宋" w:hAnsi="仿宋" w:eastAsia="仿宋"/>
          <w:color w:val="000000"/>
          <w:szCs w:val="32"/>
          <w:highlight w:val="none"/>
        </w:rPr>
        <w:t>；</w:t>
      </w:r>
    </w:p>
    <w:p w14:paraId="3F4124D0">
      <w:pPr>
        <w:rPr>
          <w:rFonts w:ascii="仿宋" w:hAnsi="仿宋" w:eastAsia="仿宋"/>
          <w:color w:val="000000"/>
          <w:szCs w:val="32"/>
          <w:highlight w:val="none"/>
        </w:rPr>
      </w:pPr>
      <w:r>
        <w:rPr>
          <w:rFonts w:hint="eastAsia" w:ascii="仿宋" w:hAnsi="仿宋" w:eastAsia="仿宋"/>
          <w:color w:val="000000"/>
          <w:szCs w:val="32"/>
          <w:highlight w:val="none"/>
        </w:rPr>
        <w:t>16. 为保证产品质量，</w:t>
      </w:r>
      <w:r>
        <w:rPr>
          <w:rFonts w:hint="eastAsia" w:ascii="仿宋" w:hAnsi="仿宋" w:eastAsia="仿宋"/>
          <w:b/>
          <w:bCs/>
          <w:color w:val="000000"/>
          <w:szCs w:val="32"/>
          <w:highlight w:val="none"/>
        </w:rPr>
        <w:t>需提供生产厂商出具的针对</w:t>
      </w:r>
      <w:r>
        <w:rPr>
          <w:rFonts w:ascii="仿宋" w:hAnsi="仿宋" w:eastAsia="仿宋"/>
          <w:b/>
          <w:bCs/>
          <w:color w:val="000000"/>
          <w:szCs w:val="32"/>
          <w:highlight w:val="none"/>
        </w:rPr>
        <w:t>本项目的</w:t>
      </w:r>
      <w:r>
        <w:rPr>
          <w:rFonts w:hint="eastAsia" w:ascii="仿宋" w:hAnsi="仿宋" w:eastAsia="仿宋"/>
          <w:b/>
          <w:bCs/>
          <w:color w:val="000000"/>
          <w:szCs w:val="32"/>
          <w:highlight w:val="none"/>
        </w:rPr>
        <w:t>专项授权书</w:t>
      </w:r>
      <w:r>
        <w:rPr>
          <w:rFonts w:hint="eastAsia" w:ascii="仿宋" w:hAnsi="仿宋" w:eastAsia="仿宋"/>
          <w:color w:val="000000"/>
          <w:szCs w:val="32"/>
          <w:highlight w:val="none"/>
        </w:rPr>
        <w:t>；</w:t>
      </w:r>
    </w:p>
    <w:p w14:paraId="412E1D99">
      <w:pPr>
        <w:rPr>
          <w:rFonts w:ascii="仿宋" w:hAnsi="仿宋" w:eastAsia="仿宋"/>
          <w:color w:val="000000"/>
          <w:szCs w:val="32"/>
          <w:highlight w:val="none"/>
        </w:rPr>
      </w:pPr>
      <w:r>
        <w:rPr>
          <w:rFonts w:hint="eastAsia" w:ascii="仿宋" w:hAnsi="仿宋" w:eastAsia="仿宋"/>
          <w:color w:val="000000"/>
          <w:szCs w:val="32"/>
          <w:highlight w:val="none"/>
        </w:rPr>
        <w:t>17. 提供软件终身免费升级服务；</w:t>
      </w:r>
    </w:p>
    <w:p w14:paraId="21324EDA">
      <w:pPr>
        <w:rPr>
          <w:rFonts w:ascii="仿宋" w:hAnsi="仿宋" w:eastAsia="仿宋"/>
          <w:color w:val="000000"/>
          <w:szCs w:val="32"/>
          <w:highlight w:val="none"/>
        </w:rPr>
      </w:pPr>
      <w:r>
        <w:rPr>
          <w:rFonts w:hint="eastAsia" w:ascii="仿宋" w:hAnsi="仿宋" w:eastAsia="仿宋"/>
          <w:color w:val="000000"/>
          <w:szCs w:val="32"/>
          <w:highlight w:val="none"/>
        </w:rPr>
        <w:t>18</w:t>
      </w:r>
      <w:r>
        <w:rPr>
          <w:rFonts w:ascii="仿宋" w:hAnsi="仿宋" w:eastAsia="仿宋"/>
          <w:color w:val="000000"/>
          <w:szCs w:val="32"/>
          <w:highlight w:val="none"/>
        </w:rPr>
        <w:t xml:space="preserve">. </w:t>
      </w:r>
      <w:r>
        <w:rPr>
          <w:rFonts w:hint="eastAsia" w:ascii="仿宋" w:hAnsi="仿宋" w:eastAsia="仿宋"/>
          <w:color w:val="000000"/>
          <w:szCs w:val="32"/>
          <w:highlight w:val="none"/>
        </w:rPr>
        <w:t>对个体认知负荷如基本动作技能、反应时、注意力、工作记忆、视觉记忆、执行和抑制功能等进行测量；图形化非言语测试任务、基于平板电脑触屏交互方式；支持多终端同时在线测试，使用云平台进行数据储存；</w:t>
      </w:r>
    </w:p>
    <w:p w14:paraId="2207B3A0">
      <w:pPr>
        <w:rPr>
          <w:rFonts w:ascii="仿宋" w:hAnsi="仿宋" w:eastAsia="仿宋"/>
          <w:color w:val="000000"/>
          <w:szCs w:val="32"/>
          <w:highlight w:val="none"/>
        </w:rPr>
      </w:pPr>
      <w:r>
        <w:rPr>
          <w:rFonts w:hint="eastAsia" w:ascii="仿宋" w:hAnsi="仿宋" w:eastAsia="仿宋"/>
          <w:color w:val="000000"/>
          <w:szCs w:val="32"/>
          <w:highlight w:val="none"/>
        </w:rPr>
        <w:t>19</w:t>
      </w:r>
      <w:r>
        <w:rPr>
          <w:rFonts w:ascii="仿宋" w:hAnsi="仿宋" w:eastAsia="仿宋"/>
          <w:color w:val="000000"/>
          <w:szCs w:val="32"/>
          <w:highlight w:val="none"/>
        </w:rPr>
        <w:t xml:space="preserve">. </w:t>
      </w:r>
      <w:r>
        <w:rPr>
          <w:rFonts w:hint="eastAsia" w:ascii="仿宋" w:hAnsi="仿宋" w:eastAsia="仿宋"/>
          <w:color w:val="000000"/>
          <w:szCs w:val="32"/>
          <w:highlight w:val="none"/>
        </w:rPr>
        <w:t>评估任务：运动技能任务用于评估被试触摸的动作技能；反应时任务考察被试的简单反应和选择反应的速度；停止信号任务用于评估被试注意抑制控制的能力；快速视觉信息加工任务考察的是被试的视觉持续注意及工作记忆能力；空间任务用于评估被试空间信息的工作记忆中的处理能力；匹配关联学习用于评估视觉记忆和关联学习能力；多维任务测试用于考察被试执行功能，提供了使用多个存在冲突的信息来指导行为的能力；</w:t>
      </w:r>
    </w:p>
    <w:p w14:paraId="205E0CDD">
      <w:pPr>
        <w:rPr>
          <w:rFonts w:ascii="仿宋" w:hAnsi="仿宋" w:eastAsia="仿宋"/>
          <w:b/>
          <w:color w:val="000000"/>
          <w:szCs w:val="32"/>
          <w:highlight w:val="none"/>
        </w:rPr>
      </w:pPr>
      <w:r>
        <w:rPr>
          <w:rFonts w:hint="eastAsia" w:ascii="仿宋" w:hAnsi="仿宋" w:eastAsia="仿宋"/>
          <w:color w:val="000000"/>
          <w:szCs w:val="32"/>
          <w:highlight w:val="none"/>
        </w:rPr>
        <w:t>20. 同步刺激调控模块：可实现4x1环形高精度刺激模式；缓升缓降设置最大值不超过60秒，每档递增值不大于5秒，最小不超过10秒;输出电流范围不小于0—2mA，每档递增值不大于0.1mA，有真刺激和假刺激的选项。</w:t>
      </w:r>
    </w:p>
    <w:p w14:paraId="17C010D5">
      <w:pPr>
        <w:rPr>
          <w:rFonts w:ascii="仿宋" w:hAnsi="仿宋" w:eastAsia="仿宋"/>
          <w:b/>
          <w:color w:val="000000"/>
          <w:szCs w:val="32"/>
          <w:highlight w:val="none"/>
        </w:rPr>
      </w:pPr>
      <w:r>
        <w:rPr>
          <w:rFonts w:hint="eastAsia" w:ascii="仿宋" w:hAnsi="仿宋" w:eastAsia="仿宋"/>
          <w:b/>
          <w:color w:val="000000"/>
          <w:szCs w:val="32"/>
          <w:highlight w:val="none"/>
        </w:rPr>
        <w:t>配置：</w:t>
      </w:r>
    </w:p>
    <w:p w14:paraId="5EBE9973">
      <w:pPr>
        <w:rPr>
          <w:rFonts w:ascii="仿宋" w:hAnsi="仿宋" w:eastAsia="仿宋"/>
          <w:b/>
          <w:color w:val="000000"/>
          <w:szCs w:val="32"/>
          <w:highlight w:val="none"/>
        </w:rPr>
      </w:pPr>
      <w:r>
        <w:rPr>
          <w:rFonts w:hint="eastAsia" w:ascii="仿宋" w:hAnsi="仿宋" w:eastAsia="仿宋"/>
          <w:color w:val="000000"/>
          <w:szCs w:val="32"/>
          <w:highlight w:val="none"/>
        </w:rPr>
        <w:t>主机、采集分析软件、认知分析软件、下巴拖、电脑、便携式手拉箱，</w:t>
      </w:r>
      <w:r>
        <w:rPr>
          <w:rFonts w:ascii="仿宋" w:hAnsi="仿宋" w:eastAsia="仿宋"/>
          <w:color w:val="000000"/>
          <w:szCs w:val="32"/>
          <w:highlight w:val="none"/>
        </w:rPr>
        <w:t>各</w:t>
      </w:r>
      <w:r>
        <w:rPr>
          <w:rFonts w:hint="eastAsia" w:ascii="仿宋" w:hAnsi="仿宋" w:eastAsia="仿宋"/>
          <w:color w:val="000000"/>
          <w:szCs w:val="32"/>
          <w:highlight w:val="none"/>
        </w:rPr>
        <w:t>1。</w:t>
      </w:r>
    </w:p>
    <w:p w14:paraId="6743564D">
      <w:pPr>
        <w:widowControl/>
        <w:shd w:val="clear" w:color="auto" w:fill="FFFFFF"/>
        <w:spacing w:line="360" w:lineRule="auto"/>
        <w:jc w:val="left"/>
        <w:rPr>
          <w:rFonts w:ascii="仿宋" w:hAnsi="仿宋" w:eastAsia="仿宋"/>
          <w:b/>
          <w:szCs w:val="21"/>
          <w:highlight w:val="none"/>
        </w:rPr>
      </w:pPr>
      <w:r>
        <w:rPr>
          <w:rFonts w:hint="eastAsia" w:ascii="仿宋" w:hAnsi="仿宋" w:eastAsia="仿宋"/>
          <w:b/>
          <w:szCs w:val="21"/>
          <w:highlight w:val="none"/>
        </w:rPr>
        <w:t>商务要求：</w:t>
      </w:r>
    </w:p>
    <w:p w14:paraId="78CABB2A">
      <w:pPr>
        <w:spacing w:line="360" w:lineRule="auto"/>
        <w:ind w:firstLine="420" w:firstLineChars="200"/>
        <w:rPr>
          <w:rFonts w:eastAsia="仿宋" w:cs="仿宋"/>
          <w:szCs w:val="21"/>
          <w:highlight w:val="none"/>
        </w:rPr>
      </w:pPr>
      <w:r>
        <w:rPr>
          <w:rFonts w:hint="eastAsia" w:eastAsia="仿宋" w:cs="仿宋"/>
          <w:szCs w:val="21"/>
          <w:highlight w:val="none"/>
        </w:rPr>
        <w:t>交货期：签订合同后30日内。</w:t>
      </w:r>
    </w:p>
    <w:p w14:paraId="2424FA3B">
      <w:pPr>
        <w:spacing w:line="360" w:lineRule="auto"/>
        <w:ind w:firstLine="420" w:firstLineChars="200"/>
        <w:rPr>
          <w:rFonts w:ascii="仿宋" w:hAnsi="仿宋" w:eastAsia="仿宋"/>
          <w:b/>
          <w:highlight w:val="none"/>
        </w:rPr>
      </w:pPr>
      <w:r>
        <w:rPr>
          <w:rFonts w:hint="eastAsia" w:eastAsia="仿宋" w:cs="仿宋"/>
          <w:szCs w:val="21"/>
          <w:highlight w:val="none"/>
        </w:rPr>
        <w:t>要求整机硬件设备免费保修</w:t>
      </w:r>
      <w:r>
        <w:rPr>
          <w:rFonts w:eastAsia="仿宋" w:cs="仿宋"/>
          <w:szCs w:val="21"/>
          <w:highlight w:val="none"/>
        </w:rPr>
        <w:t>3</w:t>
      </w:r>
      <w:r>
        <w:rPr>
          <w:rFonts w:hint="eastAsia" w:eastAsia="仿宋" w:cs="仿宋"/>
          <w:szCs w:val="21"/>
          <w:highlight w:val="none"/>
        </w:rPr>
        <w:t>年，软件质保期3年，软件终身免费升级。</w:t>
      </w:r>
    </w:p>
    <w:sectPr>
      <w:pgSz w:w="11906" w:h="16838"/>
      <w:pgMar w:top="1440" w:right="1684" w:bottom="1440" w:left="168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F6"/>
    <w:rsid w:val="00021516"/>
    <w:rsid w:val="000A42F1"/>
    <w:rsid w:val="000B5D92"/>
    <w:rsid w:val="001825F9"/>
    <w:rsid w:val="001C4CCD"/>
    <w:rsid w:val="001E3C3A"/>
    <w:rsid w:val="002248BD"/>
    <w:rsid w:val="00242121"/>
    <w:rsid w:val="002A7259"/>
    <w:rsid w:val="002E39FD"/>
    <w:rsid w:val="003208F8"/>
    <w:rsid w:val="00412EF6"/>
    <w:rsid w:val="0042639E"/>
    <w:rsid w:val="00495C32"/>
    <w:rsid w:val="004A4CEE"/>
    <w:rsid w:val="004D66A4"/>
    <w:rsid w:val="00516C7C"/>
    <w:rsid w:val="00530D9C"/>
    <w:rsid w:val="00573491"/>
    <w:rsid w:val="005A01C7"/>
    <w:rsid w:val="005C384D"/>
    <w:rsid w:val="00623AF0"/>
    <w:rsid w:val="00685C74"/>
    <w:rsid w:val="006D0CAD"/>
    <w:rsid w:val="006F126E"/>
    <w:rsid w:val="007C4EE5"/>
    <w:rsid w:val="008075BB"/>
    <w:rsid w:val="00830115"/>
    <w:rsid w:val="00837B36"/>
    <w:rsid w:val="00862737"/>
    <w:rsid w:val="008D6514"/>
    <w:rsid w:val="00926CD5"/>
    <w:rsid w:val="00934099"/>
    <w:rsid w:val="00955DF2"/>
    <w:rsid w:val="00972A21"/>
    <w:rsid w:val="009B40E2"/>
    <w:rsid w:val="009D5EF0"/>
    <w:rsid w:val="00A049BC"/>
    <w:rsid w:val="00A35091"/>
    <w:rsid w:val="00A65BFB"/>
    <w:rsid w:val="00A808EB"/>
    <w:rsid w:val="00A84171"/>
    <w:rsid w:val="00AA42C2"/>
    <w:rsid w:val="00AA72EB"/>
    <w:rsid w:val="00AC778C"/>
    <w:rsid w:val="00B777C8"/>
    <w:rsid w:val="00B85F44"/>
    <w:rsid w:val="00B9517B"/>
    <w:rsid w:val="00BA2EA9"/>
    <w:rsid w:val="00C239B0"/>
    <w:rsid w:val="00C25568"/>
    <w:rsid w:val="00C52F2C"/>
    <w:rsid w:val="00C56B01"/>
    <w:rsid w:val="00C71234"/>
    <w:rsid w:val="00C71898"/>
    <w:rsid w:val="00CF44A6"/>
    <w:rsid w:val="00D1232E"/>
    <w:rsid w:val="00D12978"/>
    <w:rsid w:val="00DA5F52"/>
    <w:rsid w:val="00E53E1F"/>
    <w:rsid w:val="00E73FAE"/>
    <w:rsid w:val="00E8029C"/>
    <w:rsid w:val="00E812D0"/>
    <w:rsid w:val="00EC724E"/>
    <w:rsid w:val="00ED51FA"/>
    <w:rsid w:val="00F25D26"/>
    <w:rsid w:val="00F473B4"/>
    <w:rsid w:val="14A94737"/>
    <w:rsid w:val="5F7538BB"/>
    <w:rsid w:val="648C0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1408</Words>
  <Characters>1562</Characters>
  <Lines>12</Lines>
  <Paragraphs>3</Paragraphs>
  <TotalTime>56</TotalTime>
  <ScaleCrop>false</ScaleCrop>
  <LinksUpToDate>false</LinksUpToDate>
  <CharactersWithSpaces>1644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2025-11-03T00:48:00Z</dcterms:created>
  <dc:creator>Lenovo</dc:creator>
  <cp:lastModifiedBy>王文义</cp:lastModifiedBy>
  <dcterms:modified xsi:type="dcterms:W3CDTF">2026-07-01T08:44:40Z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3EB002BAC41948368296BB6C690A7C35_13</vt:lpwstr>
  </property>
  <property fmtid="{D5CDD505-2E9C-101B-9397-08002B2CF9AE}" pid="4" name="KSOTemplateDocerSaveRecord">
    <vt:lpwstr>eyJoZGlkIjoiZWVhM2M3YTBhNTM1YWVkMjY2MzQxMzUwNTYwMWNlZGIiLCJ1c2VySWQiOiIxNjAyNzQ0ODA4In0=</vt:lpwstr>
  </property>
</Properties>
</file>