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C0631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磁盘阵列采购项目</w:t>
      </w:r>
    </w:p>
    <w:p w14:paraId="7DF494DC"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一、技术要求</w:t>
      </w:r>
    </w:p>
    <w:p w14:paraId="536D68E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品目一 磁盘阵列（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全闪）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1台：</w:t>
      </w:r>
    </w:p>
    <w:p w14:paraId="515A626A">
      <w:pPr>
        <w:numPr>
          <w:ilvl w:val="0"/>
          <w:numId w:val="1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国产非OEM，拥有IEEE OUI地址段；</w:t>
      </w:r>
    </w:p>
    <w:p w14:paraId="05684EE3">
      <w:pPr>
        <w:numPr>
          <w:ilvl w:val="0"/>
          <w:numId w:val="1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2U盘控一体架构，存储控制框提供≥25个NVMe硬盘槽位；</w:t>
      </w:r>
    </w:p>
    <w:p w14:paraId="3E730C8B">
      <w:pPr>
        <w:numPr>
          <w:ilvl w:val="0"/>
          <w:numId w:val="1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采用多控（所有控制器）高速互联架构，最大可扩展至≥32个控制器，控制器互联协议采用PCI-E/IB/RDMA等协议，非FC、IP联邦；控制器采用 Active-Active 架构，实现单LUN业务均衡负载到所有控制器；</w:t>
      </w:r>
    </w:p>
    <w:p w14:paraId="22130512">
      <w:pPr>
        <w:numPr>
          <w:ilvl w:val="0"/>
          <w:numId w:val="1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次配置≥2个控制器，控制器采用国产C86多核处理器，单个控制器CPU总物理核心数≥16核，频率≥2.5GHz，支持超线程，CPU须在中国信息安全测评中心和国家保密科技测评中心公开发布的《安全可靠测评结果公告》清单中。存储控制器操作系统采用欧拉、统信或麒麟等国产操作系统，不得采用国外开源社区操作系统（包括但不限于RedHat、CentOS及衍生版本）和国外操作系统（如Suse Linux）；</w:t>
      </w:r>
    </w:p>
    <w:p w14:paraId="7C4D5544">
      <w:pPr>
        <w:numPr>
          <w:ilvl w:val="0"/>
          <w:numId w:val="1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配置缓存≥256GB，最大缓存扩展能力≥16TB，缓存不包括SSD磁盘、闪存、NAS机头的内存等；采用写缓存镜像，缓存降落技术，掉电后将缓存数据下刷到硬盘中进行永久保存；</w:t>
      </w:r>
    </w:p>
    <w:p w14:paraId="44DF7909">
      <w:pPr>
        <w:numPr>
          <w:ilvl w:val="0"/>
          <w:numId w:val="1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配置16Gb FC主机接口≥8个，双控最大支持主机接口数≥26；</w:t>
      </w:r>
    </w:p>
    <w:p w14:paraId="3480301F">
      <w:pPr>
        <w:numPr>
          <w:ilvl w:val="0"/>
          <w:numId w:val="1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控制柜配置≥200Gb NVMe硬盘柜扩展接口。</w:t>
      </w:r>
    </w:p>
    <w:p w14:paraId="35A114F8">
      <w:pPr>
        <w:numPr>
          <w:ilvl w:val="0"/>
          <w:numId w:val="1"/>
        </w:numPr>
        <w:ind w:left="56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配置企业级双端口NVMe SSD硬盘≥25块，单盘容量≥3.84 TB，实配硬盘或闪存模块须采用eMLC,TLC或3DTLC介质；</w:t>
      </w:r>
    </w:p>
    <w:p w14:paraId="6AD02929">
      <w:pPr>
        <w:numPr>
          <w:ilvl w:val="0"/>
          <w:numId w:val="1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支持SAS协议、NVMe协议扩展柜混合使用； </w:t>
      </w:r>
    </w:p>
    <w:p w14:paraId="7CCCAA5E">
      <w:pPr>
        <w:numPr>
          <w:ilvl w:val="0"/>
          <w:numId w:val="1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支持RAID 0、1、10、5、6等；单RAID硬盘组任意3块硬盘发生整盘永久性故障，数据不丢失，业务不中断；</w:t>
      </w:r>
    </w:p>
    <w:p w14:paraId="669E4865">
      <w:pPr>
        <w:numPr>
          <w:ilvl w:val="0"/>
          <w:numId w:val="1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从主机端口到硬盘全路径支持基于硬件的并符合业界标准的T10-PI数据一致性检测； </w:t>
      </w:r>
    </w:p>
    <w:p w14:paraId="271FB576">
      <w:pPr>
        <w:numPr>
          <w:ilvl w:val="0"/>
          <w:numId w:val="1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支持FC、iSCSI、NVMe over FC、NVMe over RoCE的主机接入方式； </w:t>
      </w:r>
    </w:p>
    <w:p w14:paraId="17469D50">
      <w:pPr>
        <w:numPr>
          <w:ilvl w:val="0"/>
          <w:numId w:val="1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配置自动精简功能，实现存储空间超分配，精简回收颗粒度≤16KB，界面支持体现精简LUN使用率； </w:t>
      </w:r>
    </w:p>
    <w:p w14:paraId="44209B4B">
      <w:pPr>
        <w:numPr>
          <w:ilvl w:val="0"/>
          <w:numId w:val="1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支持双活功能，在不增加任何软硬件的情况下与学校现有储存设备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实现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双存储双活，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任一存储故障，不影响上层业务；双活链路支持IP和FC；</w:t>
      </w:r>
    </w:p>
    <w:p w14:paraId="50F74516">
      <w:pPr>
        <w:numPr>
          <w:ilvl w:val="0"/>
          <w:numId w:val="1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支持QoS功能，可按照LUN、LUN组和主机的方式进行流量控制。支持上限控制和下限保障两种QoS策略，可从IOPS和带宽两个维度进行配置，同时上限控制策略支持burst配置，下限保障策略支持时延配置； </w:t>
      </w:r>
    </w:p>
    <w:p w14:paraId="0C9B44EC">
      <w:pPr>
        <w:numPr>
          <w:ilvl w:val="0"/>
          <w:numId w:val="1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支持环形3DC容灾，同城同步复制/双活，同城中心异步到异地容灾中心，主中心保留均与异地容灾中心复制链路，当远程复制链路中断时，主中心可自动/手动切换到备用链路，增量异步复制到异地灾备中心，无需重建复制关系； </w:t>
      </w:r>
    </w:p>
    <w:p w14:paraId="495CCB76">
      <w:pPr>
        <w:numPr>
          <w:ilvl w:val="0"/>
          <w:numId w:val="1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日志告警、指示灯告警、控制台告警、邮件告警等告警方式，支持故障事件和告警联动方式自定义；</w:t>
      </w:r>
    </w:p>
    <w:p w14:paraId="7F6A3DDF">
      <w:pPr>
        <w:numPr>
          <w:ilvl w:val="0"/>
          <w:numId w:val="1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配置性能监控功能，可在存储管理界面上查看实时的性能统计数据，可按控制器、CPU、内存、硬盘、RAID、LUN、前端端口、后端端口、主机等多粒度统计，也可统计IOPS、平均IOPS、吞吐量、延时等性能指标。支持保存和查看≥12个月的历史性能数据，支持性能预测。</w:t>
      </w:r>
    </w:p>
    <w:p w14:paraId="0F0FD782">
      <w:pPr>
        <w:numPr>
          <w:ilvl w:val="0"/>
          <w:numId w:val="1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实现存储系统的集中化部署、管理、监控和维护，支持SMI-S接口标准,获得SMI-S版本的认证； </w:t>
      </w:r>
    </w:p>
    <w:p w14:paraId="44454DEA">
      <w:pPr>
        <w:numPr>
          <w:ilvl w:val="0"/>
          <w:numId w:val="1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Linux、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windows环境部署；具备数据迁移功能，可实现从对象存储（S3协议、云OSS）到对象存储（S3协议、云OSS）、文件（本地文件、NFS协议、CIFS协议）到文件（本地文件、NFS协议、CIFS协议）的在线或离线迁移。具备数据校验能力,数据流处理流程结束后，能数据做对比校验，数据不会发生重复、丢失、或文件内容丢失等情况。支持断点续传，当服务器宕机时，可以重新运行该软件，已经完成传输的数据不需要再次进行处理。图形化界面管理。</w:t>
      </w:r>
    </w:p>
    <w:p w14:paraId="5F7343A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品目二 磁盘阵列（混闪） 1台：</w:t>
      </w:r>
    </w:p>
    <w:p w14:paraId="5478A063">
      <w:pPr>
        <w:numPr>
          <w:ilvl w:val="0"/>
          <w:numId w:val="2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国产非OEM，拥有IEEE OUI地址段；</w:t>
      </w:r>
    </w:p>
    <w:p w14:paraId="3E4E96F1">
      <w:pPr>
        <w:numPr>
          <w:ilvl w:val="0"/>
          <w:numId w:val="2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2U盘控一体架构，存储控制框提供≥25个NVMe硬盘槽位；</w:t>
      </w:r>
    </w:p>
    <w:p w14:paraId="59E90746">
      <w:pPr>
        <w:numPr>
          <w:ilvl w:val="0"/>
          <w:numId w:val="2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采用多控（所有控制器）高速互联架构，最大可扩展至≥32个控制器，控制器互联协议采用PCI-E/IB/RDMA等协议，非FC、IP联邦；控制器采用 Active-Active 架构，实现单LUN业务均衡负载到所有控制器；</w:t>
      </w:r>
    </w:p>
    <w:p w14:paraId="3A643B27">
      <w:pPr>
        <w:numPr>
          <w:ilvl w:val="0"/>
          <w:numId w:val="2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次配置≥2个控制器，控制器采用国产C86多核处理器，单个控制器CPU总物理核心数≥16核，频率≥2.5GHz，支持超线程，CPU须在中国信息安全测评中心和国家保密科技测评中心公开发布的《安全可靠测评结果公告》清单中。存储控制器操作系统采用欧拉、统信或麒麟等国产操作系统，不得采用国外开源社区操作系统（包括但不限于RedHat、CentOS及衍生版本）和国外操作系统（如Suse Linux）；</w:t>
      </w:r>
    </w:p>
    <w:p w14:paraId="0EE942FE">
      <w:pPr>
        <w:numPr>
          <w:ilvl w:val="0"/>
          <w:numId w:val="2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配置缓存≥256GB，最大缓存扩展能力≥16TB，缓存不包括SSD磁盘、闪存、NAS机头的内存等；采用写缓存镜像，缓存降落技术，掉电后将缓存数据下刷到硬盘中进行永久保存；</w:t>
      </w:r>
    </w:p>
    <w:p w14:paraId="0C3D18DE">
      <w:pPr>
        <w:numPr>
          <w:ilvl w:val="0"/>
          <w:numId w:val="2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配置16Gb FC主机接口≥8个，双控最大支持主机接口数≥26；</w:t>
      </w:r>
    </w:p>
    <w:p w14:paraId="0E41BC31">
      <w:pPr>
        <w:numPr>
          <w:ilvl w:val="0"/>
          <w:numId w:val="2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控制柜配置≥200Gb NVMe硬盘柜扩展接口。</w:t>
      </w:r>
    </w:p>
    <w:p w14:paraId="0EED715B">
      <w:pPr>
        <w:numPr>
          <w:ilvl w:val="0"/>
          <w:numId w:val="2"/>
        </w:numPr>
        <w:ind w:left="56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配置企业级双端口NVMe SSD硬盘≥15块，单盘容量≥3.84 TB，实配硬盘或闪存模块须采用eMLC,TLC或3DTLC介质；配置12TB 7.2K NLSAS硬盘≥24块，支持NVMe SSD、SAS SSD、NL-SAS、SATA等多种类型硬盘；</w:t>
      </w:r>
    </w:p>
    <w:bookmarkEnd w:id="0"/>
    <w:p w14:paraId="697D6242">
      <w:pPr>
        <w:numPr>
          <w:ilvl w:val="0"/>
          <w:numId w:val="2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支持SAS协议、NVMe协议扩展柜混合使用； </w:t>
      </w:r>
    </w:p>
    <w:p w14:paraId="7A687EF5">
      <w:pPr>
        <w:numPr>
          <w:ilvl w:val="0"/>
          <w:numId w:val="2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支持RAID 0、1、10、5、6等；单RAID硬盘组任意3块硬盘发生整盘永久性故障，数据不丢失，业务不中断；</w:t>
      </w:r>
    </w:p>
    <w:p w14:paraId="67DFD716">
      <w:pPr>
        <w:numPr>
          <w:ilvl w:val="0"/>
          <w:numId w:val="2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从主机端口到硬盘全路径支持基于硬件的并符合业界标准的T10-PI数据一致性检测； </w:t>
      </w:r>
    </w:p>
    <w:p w14:paraId="45778F78">
      <w:pPr>
        <w:numPr>
          <w:ilvl w:val="0"/>
          <w:numId w:val="2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支持FC、iSCSI、NVMe over FC、NVMe over RoCE的主机接入方式； </w:t>
      </w:r>
    </w:p>
    <w:p w14:paraId="5BEA06FF">
      <w:pPr>
        <w:numPr>
          <w:ilvl w:val="0"/>
          <w:numId w:val="2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配置自动精简功能，实现存储空间超分配，精简回收颗粒度≤16KB，界面支持体现精简LUN使用率； </w:t>
      </w:r>
    </w:p>
    <w:p w14:paraId="109784B4">
      <w:pPr>
        <w:numPr>
          <w:ilvl w:val="0"/>
          <w:numId w:val="2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支持双活功能，在不增加任何软硬件的情况下与学校现有储存设备实现双存储双活，任一存储故障，不影响上层业务；双活链路支持IP和FC；</w:t>
      </w:r>
    </w:p>
    <w:p w14:paraId="188CCD70">
      <w:pPr>
        <w:numPr>
          <w:ilvl w:val="0"/>
          <w:numId w:val="2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支持QoS功能，可按照LUN、LUN组和主机的方式进行流量控制。支持上限控制和下限保障两种QoS策略，可从IOPS和带宽两个维度进行配置，同时上限控制策略支持burst配置，下限保障策略支持时延配置； </w:t>
      </w:r>
    </w:p>
    <w:p w14:paraId="3B8407FF">
      <w:pPr>
        <w:numPr>
          <w:ilvl w:val="0"/>
          <w:numId w:val="2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支持环形3DC容灾，同城同步复制/双活，同城中心异步到异地容灾中心，主中心保留均与异地容灾中心复制链路，当远程复制链路中断时，主中心可自动/手动切换到备用链路，增量异步复制到异地灾备中心，无需重建复制关系； </w:t>
      </w:r>
    </w:p>
    <w:p w14:paraId="7FCFB443">
      <w:pPr>
        <w:numPr>
          <w:ilvl w:val="0"/>
          <w:numId w:val="2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支持日志告警、指示灯告警、控制台告警、邮件告警等告警方式，支持故障事件和告警联动方式自定义；</w:t>
      </w:r>
    </w:p>
    <w:p w14:paraId="42CB3556">
      <w:pPr>
        <w:numPr>
          <w:ilvl w:val="0"/>
          <w:numId w:val="2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配置性能监控功能，可在存储管理界面上查看实时的性能统计数据，可按控制器、CPU、内存、硬盘、RAID、LUN、前端端口、后端端口、主机等多粒度统计，也可统计IOPS、平均IOPS、吞吐量、延时等性能指标。支持保存和查看≥12个月的历史性能数据，支持性能预测。</w:t>
      </w:r>
    </w:p>
    <w:p w14:paraId="3D40E739">
      <w:pPr>
        <w:numPr>
          <w:ilvl w:val="0"/>
          <w:numId w:val="2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实现存储系统的集中化部署、管理、监控和维护，支持SMI-S接口标准,获得SMI-S版本的认证； </w:t>
      </w:r>
    </w:p>
    <w:p w14:paraId="70657AD3">
      <w:pPr>
        <w:numPr>
          <w:ilvl w:val="0"/>
          <w:numId w:val="2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持Linux、windows环境部署；具备数据迁移功能，可实现从对象存储（S3协议、云OSS）到对象存储（S3协议、云OSS）、文件（本地文件、NFS协议、CIFS协议）到文件（本地文件、NFS协议、CIFS协议）的在线或离线迁移。具备数据校验能力,数据流处理流程结束后，能数据做对比校验，数据不会发生重复、丢失、或文件内容丢失等情况。支持断点续传，当服务器宕机时，可以重新运行该软件，已经完成传输的数据不需要再次进行处理。图形化界面管理。</w:t>
      </w:r>
    </w:p>
    <w:p w14:paraId="59A0083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二、商务要求</w:t>
      </w:r>
    </w:p>
    <w:p w14:paraId="52D18FAF">
      <w:pPr>
        <w:numPr>
          <w:ilvl w:val="0"/>
          <w:numId w:val="3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提供三年原厂免费质保；原厂上门安装服务；</w:t>
      </w:r>
    </w:p>
    <w:p w14:paraId="09816EAB">
      <w:pPr>
        <w:numPr>
          <w:ilvl w:val="0"/>
          <w:numId w:val="3"/>
        </w:numPr>
        <w:ind w:left="56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合同签订40天内供货。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BE1E13"/>
    <w:multiLevelType w:val="singleLevel"/>
    <w:tmpl w:val="9BBE1E1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leftChars="0" w:firstLine="0" w:firstLineChars="0"/>
      </w:pPr>
    </w:lvl>
  </w:abstractNum>
  <w:abstractNum w:abstractNumId="1">
    <w:nsid w:val="0E37657A"/>
    <w:multiLevelType w:val="singleLevel"/>
    <w:tmpl w:val="0E37657A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leftChars="0" w:firstLine="0" w:firstLineChars="0"/>
      </w:pPr>
    </w:lvl>
  </w:abstractNum>
  <w:abstractNum w:abstractNumId="2">
    <w:nsid w:val="2BB3AD66"/>
    <w:multiLevelType w:val="singleLevel"/>
    <w:tmpl w:val="2BB3AD66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0" w:leftChars="0" w:firstLine="0" w:firstLineChars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541D2"/>
    <w:rsid w:val="121C02C1"/>
    <w:rsid w:val="15EA4F26"/>
    <w:rsid w:val="1A83275B"/>
    <w:rsid w:val="1E20419F"/>
    <w:rsid w:val="1F073C5F"/>
    <w:rsid w:val="206746AF"/>
    <w:rsid w:val="2CC3566A"/>
    <w:rsid w:val="2E4F13FE"/>
    <w:rsid w:val="301D6D19"/>
    <w:rsid w:val="352D4D1D"/>
    <w:rsid w:val="35985875"/>
    <w:rsid w:val="3A7541D2"/>
    <w:rsid w:val="3F006838"/>
    <w:rsid w:val="42025F5C"/>
    <w:rsid w:val="42A72EE0"/>
    <w:rsid w:val="445567F2"/>
    <w:rsid w:val="45001FD6"/>
    <w:rsid w:val="4A38282A"/>
    <w:rsid w:val="4B80792F"/>
    <w:rsid w:val="4C6E4433"/>
    <w:rsid w:val="4E7D41E9"/>
    <w:rsid w:val="523E50FF"/>
    <w:rsid w:val="663C66B7"/>
    <w:rsid w:val="68741C6C"/>
    <w:rsid w:val="69E80F5F"/>
    <w:rsid w:val="6A745C1A"/>
    <w:rsid w:val="7681712F"/>
    <w:rsid w:val="7B26606F"/>
    <w:rsid w:val="7BD16F42"/>
    <w:rsid w:val="7F15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2025-02-26T00:31:00Z</dcterms:created>
  <dc:creator>郑怀宇</dc:creator>
  <cp:lastModifiedBy>郑怀宇</cp:lastModifiedBy>
  <dcterms:modified xsi:type="dcterms:W3CDTF">2025-02-26T08:29:14Z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43E0F25EB37A4340992AE1B9BFA7C636_11</vt:lpwstr>
  </property>
  <property fmtid="{D5CDD505-2E9C-101B-9397-08002B2CF9AE}" pid="4" name="KSOTemplateDocerSaveRecord">
    <vt:lpwstr>eyJoZGlkIjoiYWRhYWU1MjY0NjgwNDJjN2YzNTNmMTkyMmU2MzQzNjYiLCJ1c2VySWQiOiIxNDcxNTg3NDEzIn0=</vt:lpwstr>
  </property>
</Properties>
</file>