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pPr>
      <w:r>
        <w:rPr>
          <w:rFonts w:hint="eastAsia"/>
        </w:rPr>
        <w:t>火针治疗危险三角区痤疮虚拟仿真实训教学软件（二期）</w:t>
      </w:r>
    </w:p>
    <w:p/>
    <w:p>
      <w:r>
        <w:rPr>
          <w:rFonts w:hint="eastAsia"/>
        </w:rPr>
        <w:t>一．实验内容：</w:t>
      </w:r>
    </w:p>
    <w:p>
      <w:r>
        <w:rPr>
          <w:rFonts w:hint="eastAsia"/>
        </w:rPr>
        <w:t>火针治疗危险三角区痤疮虚拟仿真实训教学软件包诊断、治疗、痤疮及火针知识点学习、高阶探索实验模块、知识拓展模块，通过2d  3d动画结合的方式生动形象地模拟了临床诊疗流程。</w:t>
      </w:r>
    </w:p>
    <w:p>
      <w:r>
        <w:rPr>
          <w:rFonts w:hint="eastAsia"/>
        </w:rPr>
        <w:t>（一）诊断部分：</w:t>
      </w:r>
    </w:p>
    <w:p>
      <w:r>
        <w:rPr>
          <w:rFonts w:hint="eastAsia"/>
        </w:rPr>
        <w:t>1.痤疮患者基本情况设定：依据西医学“痤疮”和美容中医学“粉刺”，设定了粉刺、丘疹、脓疱、结节、囊肿、瘢痕等基本类型。自学模式中学习者练习所有类型，考核模式中随机设定某一类型进行考试，提供界面截图证明粉刺、丘疹、脓疱、结节、囊肿、瘢痕在患者面部形态</w:t>
      </w:r>
      <w:r>
        <w:rPr>
          <w:rFonts w:hint="eastAsia"/>
          <w:b/>
          <w:bCs/>
        </w:rPr>
        <w:t>（提供截图证明）</w:t>
      </w:r>
    </w:p>
    <w:p>
      <w:r>
        <w:rPr>
          <w:rFonts w:hint="eastAsia"/>
        </w:rPr>
        <w:t>2.向患者告知火针过程体验，嘱患者放松心情。</w:t>
      </w:r>
    </w:p>
    <w:p>
      <w:r>
        <w:rPr>
          <w:rFonts w:hint="eastAsia"/>
        </w:rPr>
        <w:t>熟悉痤疮分型并根据不同类型采用个体化施术，培养临床诊疗思维。</w:t>
      </w:r>
    </w:p>
    <w:p>
      <w:r>
        <w:rPr>
          <w:rFonts w:hint="eastAsia"/>
        </w:rPr>
        <w:t>治疗部分通过2d  3d动画，掌握面部危险三角区解剖，通过虚拟仿真形象的观察面部危险三角区解剖，掌握火针操作层次及错误操作导致的风险，并对相关知识点进行考核记分。并提供界面截图证明由火针错误操作导致海绵窦静脉血栓形成机制原理</w:t>
      </w:r>
      <w:r>
        <w:rPr>
          <w:rFonts w:hint="eastAsia"/>
          <w:b/>
          <w:bCs/>
        </w:rPr>
        <w:t>（提供截图证明）</w:t>
      </w:r>
    </w:p>
    <w:p>
      <w:r>
        <w:rPr>
          <w:rFonts w:hint="eastAsia"/>
        </w:rPr>
        <w:t>（二）治疗部分包括：体位选择、器具准备、消毒、定位、烧针、针刺、彻底清洁、术后医嘱、以及了解火针术后恢复情况。</w:t>
      </w:r>
    </w:p>
    <w:p>
      <w:pPr>
        <w:spacing w:line="360" w:lineRule="auto"/>
      </w:pPr>
      <w:r>
        <w:rPr>
          <w:rFonts w:hint="eastAsia"/>
        </w:rPr>
        <w:t>（三）痤疮及火针知识点学习模块</w:t>
      </w:r>
    </w:p>
    <w:p>
      <w:pPr>
        <w:spacing w:line="360" w:lineRule="auto"/>
      </w:pPr>
      <w:r>
        <w:rPr>
          <w:rFonts w:hint="eastAsia"/>
        </w:rPr>
        <w:t>（四）高阶探索实验模块制作：让学生能够在线上针对2个病例（案例一和案例二），训练独立评估、分析、思考的能力，并为患者制定合理的治疗方案；最后还要补充一个可进行知识拓展的学习模块。整体</w:t>
      </w:r>
      <w:r>
        <w:rPr>
          <w:rFonts w:hint="eastAsia"/>
          <w:lang w:eastAsia="zh-CN"/>
        </w:rPr>
        <w:t>设 计</w:t>
      </w:r>
      <w:r>
        <w:rPr>
          <w:rFonts w:hint="eastAsia"/>
        </w:rPr>
        <w:t>是将火针治疗危险三角区痤疮案例相关知识点串联在一起学习，有互动操作有高阶探索，使学生能够系统的、互补的学习掌握相关知识，系统多维度的综合考核，不断提升学生综合能力培养，也体现出整合性实验教学新模式。</w:t>
      </w:r>
    </w:p>
    <w:p>
      <w:pPr>
        <w:spacing w:line="360" w:lineRule="auto"/>
      </w:pPr>
      <w:r>
        <w:rPr>
          <w:rFonts w:hint="eastAsia"/>
        </w:rPr>
        <w:t>（五）知识拓展模块：个人剂量仪虚拟仿真项目，操作包括实验准备、充电调零、测量、读数参数要求、该综合实验包含个人剂量仪的背景知识、实验原理</w:t>
      </w:r>
      <w:r>
        <w:rPr>
          <w:rFonts w:hint="eastAsia"/>
          <w:b/>
          <w:bCs/>
        </w:rPr>
        <w:t>（提供截图证明）</w:t>
      </w:r>
    </w:p>
    <w:p>
      <w:r>
        <w:rPr>
          <w:rFonts w:hint="eastAsia"/>
        </w:rPr>
        <w:t>二．参数要求：</w:t>
      </w:r>
    </w:p>
    <w:p>
      <w:r>
        <w:rPr>
          <w:rFonts w:hint="eastAsia"/>
        </w:rPr>
        <w:t>通过学习和进行虚拟实验操作,熟悉并掌握火针治疗的危险三角区痤疮的操作及相关知识点。</w:t>
      </w:r>
    </w:p>
    <w:p>
      <w:r>
        <w:rPr>
          <w:rFonts w:hint="eastAsia"/>
        </w:rPr>
        <w:t>软件界面友好，可操作性强。操作步骤</w:t>
      </w:r>
      <w:r>
        <w:rPr>
          <w:rFonts w:hint="eastAsia"/>
          <w:lang w:eastAsia="zh-CN"/>
        </w:rPr>
        <w:t>设 计</w:t>
      </w:r>
      <w:r>
        <w:rPr>
          <w:rFonts w:hint="eastAsia"/>
        </w:rPr>
        <w:t>非常详细，具体体现在：</w:t>
      </w:r>
    </w:p>
    <w:p>
      <w:r>
        <w:rPr>
          <w:rFonts w:hint="eastAsia"/>
        </w:rPr>
        <w:t>①设置多处选择项，突出操作过程中的关键环节；</w:t>
      </w:r>
    </w:p>
    <w:p>
      <w:r>
        <w:rPr>
          <w:rFonts w:hint="eastAsia"/>
        </w:rPr>
        <w:t>②设置大量说明框，内容极其丰富，可以替代</w:t>
      </w:r>
      <w:r>
        <w:rPr>
          <w:rFonts w:hint="eastAsia"/>
          <w:lang w:val="en-US" w:eastAsia="zh-CN"/>
        </w:rPr>
        <w:t xml:space="preserve"> </w:t>
      </w:r>
      <w:r>
        <w:rPr>
          <w:rFonts w:hint="eastAsia"/>
        </w:rPr>
        <w:t>理论教学；</w:t>
      </w:r>
    </w:p>
    <w:p>
      <w:r>
        <w:rPr>
          <w:rFonts w:hint="eastAsia"/>
        </w:rPr>
        <w:t>③涵盖实验操作的每一个细节，实验过程中的难点与重点突出。</w:t>
      </w:r>
    </w:p>
    <w:p>
      <w:r>
        <w:rPr>
          <w:rFonts w:hint="eastAsia"/>
        </w:rPr>
        <w:t>④软件高度写实，实验所用耗材的图像采集均以实体为标准，而且随着实验的进行，可以观察到详细的过程。</w:t>
      </w:r>
    </w:p>
    <w:p>
      <w:r>
        <w:rPr>
          <w:rFonts w:hint="eastAsia"/>
        </w:rPr>
        <w:t>⑤涵盖丰富的动画视频资料，能够很好地拓展学生的视野。</w:t>
      </w:r>
    </w:p>
    <w:p>
      <w:r>
        <w:rPr>
          <w:rFonts w:hint="eastAsia"/>
        </w:rPr>
        <w:t>⑥包括相应的测试习题及思考题供学生复习、巩固、提高。</w:t>
      </w:r>
    </w:p>
    <w:p>
      <w:pPr>
        <w:rPr>
          <w:rFonts w:hint="default" w:eastAsia="宋体"/>
          <w:lang w:val="en-US" w:eastAsia="zh-CN"/>
        </w:rPr>
      </w:pPr>
      <w:r>
        <w:rPr>
          <w:rFonts w:hint="eastAsia"/>
          <w:lang w:val="en-US" w:eastAsia="zh-CN"/>
        </w:rPr>
        <w:t>三</w:t>
      </w:r>
      <w:r>
        <w:rPr>
          <w:rFonts w:hint="eastAsia"/>
        </w:rPr>
        <w:t>．</w:t>
      </w:r>
      <w:r>
        <w:rPr>
          <w:rFonts w:hint="eastAsia"/>
          <w:lang w:val="en-US" w:eastAsia="zh-CN"/>
        </w:rPr>
        <w:t>商务要求</w:t>
      </w:r>
    </w:p>
    <w:p>
      <w:pPr>
        <w:rPr>
          <w:rFonts w:hint="eastAsia"/>
        </w:rPr>
      </w:pPr>
      <w:r>
        <w:rPr>
          <w:rFonts w:hint="eastAsia"/>
          <w:lang w:val="en-US" w:eastAsia="zh-CN"/>
        </w:rPr>
        <w:t>1.软件</w:t>
      </w:r>
      <w:r>
        <w:rPr>
          <w:rFonts w:hint="eastAsia"/>
        </w:rPr>
        <w:t>质保期3年，供货期</w:t>
      </w:r>
      <w:r>
        <w:rPr>
          <w:rFonts w:hint="eastAsia"/>
          <w:lang w:val="en-US" w:eastAsia="zh-CN"/>
        </w:rPr>
        <w:t>7天</w:t>
      </w:r>
      <w:r>
        <w:rPr>
          <w:rFonts w:hint="eastAsia"/>
        </w:rPr>
        <w:t>。</w:t>
      </w:r>
    </w:p>
    <w:p>
      <w:pPr>
        <w:rPr>
          <w:rFonts w:hint="default" w:eastAsia="宋体"/>
          <w:b/>
          <w:bCs/>
          <w:lang w:val="en-US" w:eastAsia="zh-CN"/>
        </w:rPr>
      </w:pPr>
      <w:r>
        <w:rPr>
          <w:rFonts w:hint="eastAsia"/>
          <w:b/>
          <w:bCs/>
          <w:lang w:val="en-US" w:eastAsia="zh-CN"/>
        </w:rPr>
        <w:t>2.投标价格不得高于9.2万元。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WQxZGI1NWMzMmUxZTE2MTZmMDFkODdiYTlkNWMifQ=="/>
  </w:docVars>
  <w:rsids>
    <w:rsidRoot w:val="2D9B5F92"/>
    <w:rsid w:val="00206CF1"/>
    <w:rsid w:val="00255525"/>
    <w:rsid w:val="0032358C"/>
    <w:rsid w:val="003D7ADB"/>
    <w:rsid w:val="0085313B"/>
    <w:rsid w:val="00B016C0"/>
    <w:rsid w:val="00E3337D"/>
    <w:rsid w:val="0CEE6277"/>
    <w:rsid w:val="2AB34114"/>
    <w:rsid w:val="2D9B5F92"/>
    <w:rsid w:val="2E1D0859"/>
    <w:rsid w:val="65865F31"/>
    <w:rsid w:val="6B514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zisiblack2"/>
    <w:qFormat/>
    <w:uiPriority w:val="99"/>
    <w:rPr>
      <w:rFonts w:cs="Times New Roman"/>
    </w:rPr>
  </w:style>
  <w:style w:type="character" w:customStyle="1" w:styleId="7">
    <w:name w:val="页眉 字符"/>
    <w:basedOn w:val="5"/>
    <w:link w:val="3"/>
    <w:qFormat/>
    <w:uiPriority w:val="0"/>
    <w:rPr>
      <w:rFonts w:ascii="Times New Roman" w:hAnsi="Times New Roman" w:eastAsia="宋体" w:cs="Times New Roman"/>
      <w:kern w:val="2"/>
      <w:sz w:val="18"/>
      <w:szCs w:val="18"/>
    </w:rPr>
  </w:style>
  <w:style w:type="character" w:customStyle="1" w:styleId="8">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2022-10-14T14:11:00Z</dcterms:created>
  <dc:creator>李峥</dc:creator>
  <cp:lastModifiedBy>不哭</cp:lastModifiedBy>
  <dcterms:modified xsi:type="dcterms:W3CDTF">2022-12-11T15:22:01Z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38FAF05967564E918D1D09665A0D8B87</vt:lpwstr>
  </property>
</Properties>
</file>