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A7558">
      <w:pPr>
        <w:jc w:val="center"/>
        <w:rPr>
          <w:rFonts w:ascii="仿宋" w:hAnsi="仿宋" w:eastAsia="仿宋"/>
          <w:b/>
          <w:sz w:val="32"/>
          <w:szCs w:val="32"/>
        </w:rPr>
      </w:pPr>
      <w:r>
        <w:rPr>
          <w:rFonts w:hint="eastAsia" w:ascii="仿宋" w:hAnsi="仿宋" w:eastAsia="仿宋"/>
          <w:b/>
          <w:sz w:val="32"/>
          <w:szCs w:val="32"/>
        </w:rPr>
        <w:t>福建中医药大学设备询价工作单</w:t>
      </w:r>
    </w:p>
    <w:p w14:paraId="71F65FCF">
      <w:pPr>
        <w:ind w:firstLine="525" w:firstLineChars="250"/>
        <w:rPr>
          <w:rFonts w:ascii="仿宋" w:hAnsi="仿宋" w:eastAsia="仿宋"/>
          <w:szCs w:val="21"/>
        </w:rPr>
      </w:pPr>
      <w:r>
        <w:rPr>
          <w:rFonts w:hint="eastAsia" w:ascii="仿宋" w:hAnsi="仿宋" w:eastAsia="仿宋"/>
          <w:szCs w:val="21"/>
        </w:rPr>
        <w:t>公司名 称（盖章）：</w:t>
      </w:r>
    </w:p>
    <w:tbl>
      <w:tblPr>
        <w:tblStyle w:val="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3503"/>
        <w:gridCol w:w="1640"/>
        <w:gridCol w:w="1400"/>
        <w:gridCol w:w="1525"/>
        <w:gridCol w:w="3887"/>
      </w:tblGrid>
      <w:tr w14:paraId="3865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33" w:type="dxa"/>
            <w:vAlign w:val="center"/>
          </w:tcPr>
          <w:p w14:paraId="5CB3880B">
            <w:pPr>
              <w:jc w:val="center"/>
              <w:rPr>
                <w:rFonts w:ascii="仿宋" w:hAnsi="仿宋" w:eastAsia="仿宋"/>
                <w:szCs w:val="21"/>
              </w:rPr>
            </w:pPr>
            <w:r>
              <w:rPr>
                <w:rFonts w:hint="eastAsia" w:ascii="仿宋" w:hAnsi="仿宋" w:eastAsia="仿宋"/>
                <w:szCs w:val="21"/>
              </w:rPr>
              <w:t>项目</w:t>
            </w:r>
          </w:p>
        </w:tc>
        <w:tc>
          <w:tcPr>
            <w:tcW w:w="3503" w:type="dxa"/>
            <w:vAlign w:val="center"/>
          </w:tcPr>
          <w:p w14:paraId="51A48FDC">
            <w:pPr>
              <w:jc w:val="center"/>
              <w:rPr>
                <w:rFonts w:ascii="仿宋" w:hAnsi="仿宋" w:eastAsia="仿宋"/>
                <w:szCs w:val="21"/>
              </w:rPr>
            </w:pPr>
            <w:r>
              <w:rPr>
                <w:rFonts w:hint="eastAsia" w:ascii="仿宋" w:hAnsi="仿宋" w:eastAsia="仿宋"/>
                <w:szCs w:val="21"/>
              </w:rPr>
              <w:t>仪器名称</w:t>
            </w:r>
          </w:p>
        </w:tc>
        <w:tc>
          <w:tcPr>
            <w:tcW w:w="1640" w:type="dxa"/>
            <w:vAlign w:val="center"/>
          </w:tcPr>
          <w:p w14:paraId="7219DEEB">
            <w:pPr>
              <w:jc w:val="center"/>
              <w:rPr>
                <w:rFonts w:ascii="仿宋" w:hAnsi="仿宋" w:eastAsia="仿宋"/>
                <w:szCs w:val="21"/>
              </w:rPr>
            </w:pPr>
            <w:r>
              <w:rPr>
                <w:rFonts w:hint="eastAsia" w:ascii="仿宋" w:hAnsi="仿宋" w:eastAsia="仿宋"/>
                <w:szCs w:val="21"/>
              </w:rPr>
              <w:t>参考型号</w:t>
            </w:r>
          </w:p>
        </w:tc>
        <w:tc>
          <w:tcPr>
            <w:tcW w:w="1400" w:type="dxa"/>
            <w:vAlign w:val="center"/>
          </w:tcPr>
          <w:p w14:paraId="7F4694DF">
            <w:pPr>
              <w:jc w:val="center"/>
              <w:rPr>
                <w:rFonts w:ascii="仿宋" w:hAnsi="仿宋" w:eastAsia="仿宋"/>
                <w:szCs w:val="21"/>
              </w:rPr>
            </w:pPr>
            <w:r>
              <w:rPr>
                <w:rFonts w:hint="eastAsia" w:ascii="仿宋" w:hAnsi="仿宋" w:eastAsia="仿宋"/>
                <w:szCs w:val="21"/>
              </w:rPr>
              <w:t>数量</w:t>
            </w:r>
          </w:p>
        </w:tc>
        <w:tc>
          <w:tcPr>
            <w:tcW w:w="1525" w:type="dxa"/>
            <w:vAlign w:val="center"/>
          </w:tcPr>
          <w:p w14:paraId="5ABC2E07">
            <w:pPr>
              <w:jc w:val="center"/>
              <w:rPr>
                <w:rFonts w:ascii="仿宋" w:hAnsi="仿宋" w:eastAsia="仿宋"/>
                <w:szCs w:val="21"/>
              </w:rPr>
            </w:pPr>
            <w:r>
              <w:rPr>
                <w:rFonts w:hint="eastAsia" w:ascii="仿宋" w:hAnsi="仿宋" w:eastAsia="仿宋"/>
                <w:szCs w:val="21"/>
              </w:rPr>
              <w:t>价格</w:t>
            </w:r>
          </w:p>
          <w:p w14:paraId="5AE1F97B">
            <w:pPr>
              <w:jc w:val="center"/>
              <w:rPr>
                <w:rFonts w:ascii="仿宋" w:hAnsi="仿宋" w:eastAsia="仿宋"/>
                <w:szCs w:val="21"/>
              </w:rPr>
            </w:pPr>
            <w:r>
              <w:rPr>
                <w:rFonts w:hint="eastAsia" w:ascii="仿宋" w:hAnsi="仿宋" w:eastAsia="仿宋"/>
                <w:szCs w:val="21"/>
              </w:rPr>
              <w:t>（万元）</w:t>
            </w:r>
          </w:p>
        </w:tc>
        <w:tc>
          <w:tcPr>
            <w:tcW w:w="3887" w:type="dxa"/>
            <w:vAlign w:val="center"/>
          </w:tcPr>
          <w:p w14:paraId="44095ADA">
            <w:pPr>
              <w:jc w:val="center"/>
              <w:rPr>
                <w:rFonts w:ascii="仿宋" w:hAnsi="仿宋" w:eastAsia="仿宋"/>
                <w:szCs w:val="21"/>
              </w:rPr>
            </w:pPr>
            <w:r>
              <w:rPr>
                <w:rFonts w:hint="eastAsia" w:ascii="仿宋" w:hAnsi="仿宋" w:eastAsia="仿宋"/>
                <w:szCs w:val="21"/>
              </w:rPr>
              <w:t>备注</w:t>
            </w:r>
          </w:p>
        </w:tc>
      </w:tr>
      <w:tr w14:paraId="6199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33" w:type="dxa"/>
            <w:shd w:val="clear" w:color="auto" w:fill="auto"/>
            <w:vAlign w:val="center"/>
          </w:tcPr>
          <w:p w14:paraId="699BD553">
            <w:pPr>
              <w:spacing w:line="360" w:lineRule="auto"/>
              <w:jc w:val="center"/>
              <w:rPr>
                <w:rFonts w:ascii="仿宋" w:hAnsi="仿宋" w:eastAsia="仿宋"/>
                <w:szCs w:val="21"/>
              </w:rPr>
            </w:pPr>
            <w:bookmarkStart w:id="0" w:name="OLE_LINK6" w:colFirst="3" w:colLast="3"/>
            <w:bookmarkStart w:id="1" w:name="OLE_LINK3" w:colFirst="5" w:colLast="5"/>
            <w:bookmarkStart w:id="2" w:name="OLE_LINK7" w:colFirst="5" w:colLast="5"/>
            <w:bookmarkStart w:id="3" w:name="OLE_LINK5" w:colFirst="1" w:colLast="1"/>
            <w:bookmarkStart w:id="4" w:name="OLE_LINK11" w:colFirst="1" w:colLast="1"/>
            <w:r>
              <w:rPr>
                <w:rFonts w:hint="eastAsia" w:ascii="仿宋" w:hAnsi="仿宋" w:eastAsia="仿宋"/>
                <w:szCs w:val="21"/>
              </w:rPr>
              <w:t>1</w:t>
            </w:r>
          </w:p>
        </w:tc>
        <w:tc>
          <w:tcPr>
            <w:tcW w:w="3503" w:type="dxa"/>
            <w:shd w:val="clear" w:color="FFFF00" w:fill="auto"/>
            <w:vAlign w:val="center"/>
          </w:tcPr>
          <w:p w14:paraId="42FBC2E8">
            <w:pPr>
              <w:jc w:val="center"/>
              <w:rPr>
                <w:rFonts w:hint="eastAsia" w:ascii="仿宋" w:hAnsi="仿宋" w:eastAsia="仿宋"/>
                <w:szCs w:val="21"/>
              </w:rPr>
            </w:pPr>
            <w:r>
              <w:rPr>
                <w:rFonts w:hint="eastAsia" w:ascii="仿宋" w:hAnsi="仿宋" w:eastAsia="仿宋"/>
                <w:szCs w:val="21"/>
              </w:rPr>
              <w:t>脑电信号与肌电信号同步采集融合平台</w:t>
            </w:r>
          </w:p>
        </w:tc>
        <w:tc>
          <w:tcPr>
            <w:tcW w:w="1640" w:type="dxa"/>
            <w:shd w:val="clear" w:color="FFFF00" w:fill="auto"/>
            <w:vAlign w:val="center"/>
          </w:tcPr>
          <w:p w14:paraId="6AE64E11">
            <w:pPr>
              <w:jc w:val="center"/>
              <w:rPr>
                <w:rFonts w:hint="eastAsia" w:ascii="仿宋" w:hAnsi="仿宋" w:eastAsia="仿宋"/>
                <w:szCs w:val="21"/>
              </w:rPr>
            </w:pPr>
          </w:p>
        </w:tc>
        <w:tc>
          <w:tcPr>
            <w:tcW w:w="1400" w:type="dxa"/>
            <w:shd w:val="clear" w:color="FFFF00" w:fill="auto"/>
            <w:vAlign w:val="center"/>
          </w:tcPr>
          <w:p w14:paraId="6CE9F74D">
            <w:pPr>
              <w:jc w:val="center"/>
              <w:rPr>
                <w:rFonts w:hint="eastAsia" w:ascii="仿宋" w:hAnsi="仿宋" w:eastAsia="仿宋"/>
                <w:szCs w:val="21"/>
              </w:rPr>
            </w:pPr>
            <w:bookmarkStart w:id="5" w:name="OLE_LINK59"/>
            <w:bookmarkStart w:id="6" w:name="OLE_LINK60"/>
            <w:r>
              <w:rPr>
                <w:rFonts w:hint="eastAsia" w:ascii="仿宋" w:hAnsi="仿宋" w:eastAsia="仿宋"/>
                <w:szCs w:val="21"/>
              </w:rPr>
              <w:t>1套</w:t>
            </w:r>
            <w:bookmarkEnd w:id="5"/>
            <w:bookmarkEnd w:id="6"/>
          </w:p>
        </w:tc>
        <w:tc>
          <w:tcPr>
            <w:tcW w:w="1525" w:type="dxa"/>
            <w:vAlign w:val="center"/>
          </w:tcPr>
          <w:p w14:paraId="5FA5B167">
            <w:pPr>
              <w:jc w:val="center"/>
              <w:rPr>
                <w:rFonts w:ascii="仿宋" w:hAnsi="仿宋" w:eastAsia="仿宋"/>
                <w:szCs w:val="21"/>
              </w:rPr>
            </w:pPr>
          </w:p>
        </w:tc>
        <w:tc>
          <w:tcPr>
            <w:tcW w:w="3887" w:type="dxa"/>
            <w:vAlign w:val="center"/>
          </w:tcPr>
          <w:p w14:paraId="037AC780">
            <w:pPr>
              <w:jc w:val="center"/>
              <w:rPr>
                <w:rFonts w:ascii="仿宋" w:hAnsi="仿宋" w:eastAsia="仿宋"/>
                <w:szCs w:val="21"/>
              </w:rPr>
            </w:pPr>
          </w:p>
        </w:tc>
      </w:tr>
      <w:bookmarkEnd w:id="0"/>
      <w:bookmarkEnd w:id="1"/>
      <w:bookmarkEnd w:id="2"/>
      <w:bookmarkEnd w:id="3"/>
      <w:bookmarkEnd w:id="4"/>
      <w:tr w14:paraId="3669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576" w:type="dxa"/>
            <w:gridSpan w:val="4"/>
            <w:vAlign w:val="center"/>
          </w:tcPr>
          <w:p w14:paraId="0EC1D6A8">
            <w:pPr>
              <w:jc w:val="center"/>
              <w:rPr>
                <w:rFonts w:ascii="仿宋" w:hAnsi="仿宋" w:eastAsia="仿宋"/>
                <w:szCs w:val="21"/>
              </w:rPr>
            </w:pPr>
            <w:r>
              <w:rPr>
                <w:rFonts w:hint="eastAsia" w:ascii="仿宋" w:hAnsi="仿宋" w:eastAsia="仿宋"/>
                <w:szCs w:val="21"/>
              </w:rPr>
              <w:t>合  计</w:t>
            </w:r>
          </w:p>
        </w:tc>
        <w:tc>
          <w:tcPr>
            <w:tcW w:w="1525" w:type="dxa"/>
            <w:vAlign w:val="center"/>
          </w:tcPr>
          <w:p w14:paraId="463BEC0F">
            <w:pPr>
              <w:jc w:val="center"/>
              <w:rPr>
                <w:rFonts w:ascii="仿宋" w:hAnsi="仿宋" w:eastAsia="仿宋"/>
                <w:szCs w:val="21"/>
              </w:rPr>
            </w:pPr>
          </w:p>
        </w:tc>
        <w:tc>
          <w:tcPr>
            <w:tcW w:w="3887" w:type="dxa"/>
            <w:vAlign w:val="center"/>
          </w:tcPr>
          <w:p w14:paraId="374AE405">
            <w:pPr>
              <w:jc w:val="center"/>
              <w:rPr>
                <w:rFonts w:ascii="仿宋" w:hAnsi="仿宋" w:eastAsia="仿宋"/>
                <w:szCs w:val="21"/>
              </w:rPr>
            </w:pPr>
          </w:p>
        </w:tc>
      </w:tr>
    </w:tbl>
    <w:p w14:paraId="16370902">
      <w:pPr>
        <w:rPr>
          <w:rFonts w:ascii="仿宋" w:hAnsi="仿宋" w:eastAsia="仿宋"/>
          <w:szCs w:val="21"/>
          <w:highlight w:val="none"/>
        </w:rPr>
      </w:pPr>
      <w:r>
        <w:rPr>
          <w:rFonts w:hint="eastAsia" w:ascii="仿宋" w:hAnsi="仿宋" w:eastAsia="仿宋"/>
          <w:szCs w:val="21"/>
        </w:rPr>
        <w:t xml:space="preserve">         联系</w:t>
      </w:r>
      <w:r>
        <w:rPr>
          <w:rFonts w:hint="eastAsia" w:ascii="仿宋" w:hAnsi="仿宋" w:eastAsia="仿宋"/>
          <w:szCs w:val="21"/>
          <w:highlight w:val="none"/>
        </w:rPr>
        <w:t>人：                                    联系电话：</w:t>
      </w:r>
    </w:p>
    <w:p w14:paraId="14BDB77D">
      <w:pPr>
        <w:rPr>
          <w:rFonts w:ascii="仿宋" w:hAnsi="仿宋" w:eastAsia="仿宋"/>
          <w:szCs w:val="21"/>
          <w:highlight w:val="none"/>
        </w:rPr>
      </w:pPr>
      <w:r>
        <w:rPr>
          <w:rFonts w:hint="eastAsia" w:ascii="仿宋" w:hAnsi="仿宋" w:eastAsia="仿宋"/>
          <w:szCs w:val="21"/>
          <w:highlight w:val="none"/>
        </w:rPr>
        <w:t>1、询价会报名截止时间为</w:t>
      </w:r>
      <w:r>
        <w:rPr>
          <w:rFonts w:ascii="仿宋" w:hAnsi="仿宋" w:eastAsia="仿宋"/>
          <w:szCs w:val="21"/>
          <w:highlight w:val="none"/>
        </w:rPr>
        <w:t>20</w:t>
      </w:r>
      <w:r>
        <w:rPr>
          <w:rFonts w:hint="eastAsia" w:ascii="仿宋" w:hAnsi="仿宋" w:eastAsia="仿宋"/>
          <w:szCs w:val="21"/>
          <w:highlight w:val="none"/>
        </w:rPr>
        <w:t>2</w:t>
      </w:r>
      <w:r>
        <w:rPr>
          <w:rFonts w:ascii="仿宋" w:hAnsi="仿宋" w:eastAsia="仿宋"/>
          <w:szCs w:val="21"/>
          <w:highlight w:val="none"/>
        </w:rPr>
        <w:t>5年11</w:t>
      </w:r>
      <w:r>
        <w:rPr>
          <w:rFonts w:hint="eastAsia" w:ascii="仿宋" w:hAnsi="仿宋" w:eastAsia="仿宋"/>
          <w:szCs w:val="21"/>
          <w:highlight w:val="none"/>
        </w:rPr>
        <w:t>月</w:t>
      </w:r>
      <w:r>
        <w:rPr>
          <w:rFonts w:hint="eastAsia" w:ascii="仿宋" w:hAnsi="仿宋" w:eastAsia="仿宋"/>
          <w:szCs w:val="21"/>
          <w:highlight w:val="none"/>
          <w:lang w:val="en-US" w:eastAsia="zh-CN"/>
        </w:rPr>
        <w:t>14</w:t>
      </w:r>
      <w:r>
        <w:rPr>
          <w:rFonts w:ascii="仿宋" w:hAnsi="仿宋" w:eastAsia="仿宋"/>
          <w:szCs w:val="21"/>
          <w:highlight w:val="none"/>
        </w:rPr>
        <w:t>日</w:t>
      </w:r>
      <w:r>
        <w:rPr>
          <w:rFonts w:hint="eastAsia" w:ascii="仿宋" w:hAnsi="仿宋" w:eastAsia="仿宋"/>
          <w:szCs w:val="21"/>
          <w:highlight w:val="none"/>
        </w:rPr>
        <w:t>上午9:00。</w:t>
      </w:r>
    </w:p>
    <w:p w14:paraId="0DF659EE">
      <w:pPr>
        <w:rPr>
          <w:rFonts w:ascii="仿宋" w:hAnsi="仿宋" w:eastAsia="仿宋"/>
          <w:szCs w:val="21"/>
          <w:highlight w:val="none"/>
        </w:rPr>
      </w:pPr>
      <w:r>
        <w:rPr>
          <w:rFonts w:hint="eastAsia" w:ascii="仿宋" w:hAnsi="仿宋" w:eastAsia="仿宋"/>
          <w:szCs w:val="21"/>
          <w:highlight w:val="none"/>
        </w:rPr>
        <w:t>2、拟参与询价公司要提供详细的名 称、型号、技术指标及供货时间。</w:t>
      </w:r>
    </w:p>
    <w:p w14:paraId="6573095E">
      <w:pPr>
        <w:rPr>
          <w:rFonts w:ascii="仿宋" w:hAnsi="仿宋" w:eastAsia="仿宋"/>
          <w:szCs w:val="21"/>
          <w:highlight w:val="none"/>
        </w:rPr>
      </w:pPr>
      <w:r>
        <w:rPr>
          <w:rFonts w:hint="eastAsia" w:ascii="仿宋" w:hAnsi="仿宋" w:eastAsia="仿宋"/>
          <w:szCs w:val="21"/>
          <w:highlight w:val="none"/>
        </w:rPr>
        <w:t>3、报价均为福州现场交货人民币价。</w:t>
      </w:r>
    </w:p>
    <w:p w14:paraId="4BC3C023">
      <w:pPr>
        <w:rPr>
          <w:rFonts w:ascii="仿宋" w:hAnsi="仿宋" w:eastAsia="仿宋"/>
          <w:szCs w:val="21"/>
          <w:highlight w:val="none"/>
        </w:rPr>
      </w:pPr>
      <w:r>
        <w:rPr>
          <w:rFonts w:hint="eastAsia" w:ascii="仿宋" w:hAnsi="仿宋" w:eastAsia="仿宋"/>
          <w:szCs w:val="21"/>
          <w:highlight w:val="none"/>
        </w:rPr>
        <w:t>4、询价单需要一式四份</w:t>
      </w:r>
    </w:p>
    <w:p w14:paraId="4A02C402">
      <w:pPr>
        <w:rPr>
          <w:rFonts w:ascii="仿宋" w:hAnsi="仿宋" w:eastAsia="仿宋"/>
          <w:szCs w:val="21"/>
          <w:highlight w:val="none"/>
        </w:rPr>
      </w:pPr>
      <w:r>
        <w:rPr>
          <w:rFonts w:hint="eastAsia" w:ascii="仿宋" w:hAnsi="仿宋" w:eastAsia="仿宋"/>
          <w:szCs w:val="21"/>
          <w:highlight w:val="none"/>
        </w:rPr>
        <w:t xml:space="preserve">5、询价时间和地点:时间-- </w:t>
      </w:r>
      <w:r>
        <w:rPr>
          <w:rFonts w:ascii="仿宋" w:hAnsi="仿宋" w:eastAsia="仿宋"/>
          <w:szCs w:val="21"/>
          <w:highlight w:val="none"/>
        </w:rPr>
        <w:t>20</w:t>
      </w:r>
      <w:r>
        <w:rPr>
          <w:rFonts w:hint="eastAsia" w:ascii="仿宋" w:hAnsi="仿宋" w:eastAsia="仿宋"/>
          <w:szCs w:val="21"/>
          <w:highlight w:val="none"/>
        </w:rPr>
        <w:t>2</w:t>
      </w:r>
      <w:r>
        <w:rPr>
          <w:rFonts w:ascii="仿宋" w:hAnsi="仿宋" w:eastAsia="仿宋"/>
          <w:szCs w:val="21"/>
          <w:highlight w:val="none"/>
        </w:rPr>
        <w:t>5年11月</w:t>
      </w:r>
      <w:r>
        <w:rPr>
          <w:rFonts w:hint="eastAsia" w:ascii="仿宋" w:hAnsi="仿宋" w:eastAsia="仿宋"/>
          <w:szCs w:val="21"/>
          <w:highlight w:val="none"/>
          <w:lang w:val="en-US" w:eastAsia="zh-CN"/>
        </w:rPr>
        <w:t>14</w:t>
      </w:r>
      <w:r>
        <w:rPr>
          <w:rFonts w:ascii="仿宋" w:hAnsi="仿宋" w:eastAsia="仿宋"/>
          <w:szCs w:val="21"/>
          <w:highlight w:val="none"/>
        </w:rPr>
        <w:t>日</w:t>
      </w:r>
      <w:r>
        <w:rPr>
          <w:rFonts w:hint="eastAsia" w:ascii="仿宋" w:hAnsi="仿宋" w:eastAsia="仿宋"/>
          <w:szCs w:val="21"/>
          <w:highlight w:val="none"/>
        </w:rPr>
        <w:t>上午9:00，地点：福建中医药大学康复大楼514会议室。</w:t>
      </w:r>
    </w:p>
    <w:p w14:paraId="5C5A817A">
      <w:pPr>
        <w:rPr>
          <w:rFonts w:ascii="仿宋" w:hAnsi="仿宋" w:eastAsia="仿宋"/>
          <w:b/>
          <w:szCs w:val="21"/>
          <w:highlight w:val="none"/>
        </w:rPr>
      </w:pPr>
      <w:r>
        <w:rPr>
          <w:rFonts w:hint="eastAsia" w:ascii="仿宋" w:hAnsi="仿宋" w:eastAsia="仿宋"/>
          <w:szCs w:val="21"/>
          <w:highlight w:val="none"/>
        </w:rPr>
        <w:t>6、</w:t>
      </w:r>
      <w:r>
        <w:rPr>
          <w:rFonts w:hint="eastAsia" w:ascii="仿宋" w:hAnsi="仿宋" w:eastAsia="仿宋"/>
          <w:b/>
          <w:szCs w:val="21"/>
          <w:highlight w:val="none"/>
        </w:rPr>
        <w:t>询价材料须装订或胶装成册</w:t>
      </w:r>
    </w:p>
    <w:p w14:paraId="08176154">
      <w:pPr>
        <w:rPr>
          <w:rFonts w:ascii="仿宋" w:hAnsi="仿宋" w:eastAsia="仿宋"/>
          <w:color w:val="000000"/>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14:paraId="1B678DEA">
      <w:pPr>
        <w:widowControl/>
        <w:jc w:val="left"/>
      </w:pPr>
      <w:r>
        <w:br w:type="page"/>
      </w:r>
    </w:p>
    <w:p w14:paraId="3AC60725">
      <w:pPr>
        <w:jc w:val="center"/>
        <w:rPr>
          <w:rFonts w:ascii="仿宋" w:hAnsi="仿宋" w:eastAsia="仿宋"/>
          <w:color w:val="000000"/>
          <w:sz w:val="28"/>
          <w:szCs w:val="28"/>
        </w:rPr>
      </w:pPr>
      <w:r>
        <w:rPr>
          <w:rFonts w:hint="eastAsia" w:ascii="仿宋" w:hAnsi="仿宋" w:eastAsia="仿宋"/>
          <w:color w:val="000000"/>
          <w:sz w:val="28"/>
          <w:szCs w:val="28"/>
        </w:rPr>
        <w:t>技术规格偏离表</w:t>
      </w:r>
    </w:p>
    <w:p w14:paraId="60C49DDE">
      <w:pPr>
        <w:tabs>
          <w:tab w:val="left" w:pos="5355"/>
        </w:tabs>
        <w:rPr>
          <w:rFonts w:ascii="仿宋" w:hAnsi="仿宋" w:eastAsia="仿宋"/>
          <w:color w:val="000000"/>
          <w:szCs w:val="21"/>
        </w:rPr>
      </w:pPr>
      <w:r>
        <w:rPr>
          <w:rFonts w:hint="eastAsia" w:ascii="仿宋" w:hAnsi="仿宋" w:eastAsia="仿宋"/>
          <w:color w:val="000000"/>
          <w:szCs w:val="21"/>
        </w:rPr>
        <w:t>报价方名 称（全称）：</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4496"/>
        <w:gridCol w:w="4496"/>
        <w:gridCol w:w="4496"/>
      </w:tblGrid>
      <w:tr w14:paraId="7CA5AE01">
        <w:tblPrEx>
          <w:tblCellMar>
            <w:top w:w="0" w:type="dxa"/>
            <w:left w:w="108" w:type="dxa"/>
            <w:bottom w:w="0" w:type="dxa"/>
            <w:right w:w="108" w:type="dxa"/>
          </w:tblCellMar>
        </w:tblPrEx>
        <w:trPr>
          <w:cantSplit/>
          <w:trHeight w:val="565" w:hRule="atLeast"/>
          <w:jc w:val="center"/>
        </w:trPr>
        <w:tc>
          <w:tcPr>
            <w:tcW w:w="241" w:type="pct"/>
            <w:vAlign w:val="center"/>
          </w:tcPr>
          <w:p w14:paraId="32CA743A">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序号</w:t>
            </w:r>
          </w:p>
        </w:tc>
        <w:tc>
          <w:tcPr>
            <w:tcW w:w="1586" w:type="pct"/>
            <w:vAlign w:val="center"/>
          </w:tcPr>
          <w:p w14:paraId="4E818510">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技 术 要 求</w:t>
            </w:r>
          </w:p>
        </w:tc>
        <w:tc>
          <w:tcPr>
            <w:tcW w:w="1586" w:type="pct"/>
            <w:vAlign w:val="center"/>
          </w:tcPr>
          <w:p w14:paraId="7CBE66D2">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 xml:space="preserve"> 响 应 情 况</w:t>
            </w:r>
          </w:p>
        </w:tc>
        <w:tc>
          <w:tcPr>
            <w:tcW w:w="1586" w:type="pct"/>
            <w:vAlign w:val="center"/>
          </w:tcPr>
          <w:p w14:paraId="4675CFB9">
            <w:pPr>
              <w:tabs>
                <w:tab w:val="left" w:pos="5355"/>
              </w:tabs>
              <w:ind w:right="-15" w:rightChars="-7"/>
              <w:jc w:val="center"/>
              <w:rPr>
                <w:rFonts w:ascii="仿宋" w:hAnsi="仿宋" w:eastAsia="仿宋"/>
                <w:color w:val="000000"/>
                <w:spacing w:val="-10"/>
                <w:szCs w:val="21"/>
              </w:rPr>
            </w:pPr>
            <w:r>
              <w:rPr>
                <w:rFonts w:hint="eastAsia" w:ascii="仿宋" w:hAnsi="仿宋" w:eastAsia="仿宋"/>
                <w:color w:val="000000"/>
                <w:spacing w:val="-10"/>
                <w:szCs w:val="21"/>
              </w:rPr>
              <w:t>偏 离 说 明</w:t>
            </w:r>
          </w:p>
        </w:tc>
      </w:tr>
      <w:tr w14:paraId="3312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41CEC825">
            <w:pPr>
              <w:tabs>
                <w:tab w:val="left" w:pos="5355"/>
              </w:tabs>
              <w:jc w:val="center"/>
              <w:rPr>
                <w:rFonts w:ascii="仿宋" w:hAnsi="仿宋" w:eastAsia="仿宋"/>
                <w:color w:val="000000"/>
                <w:szCs w:val="21"/>
              </w:rPr>
            </w:pPr>
          </w:p>
        </w:tc>
        <w:tc>
          <w:tcPr>
            <w:tcW w:w="1586" w:type="pct"/>
            <w:vAlign w:val="center"/>
          </w:tcPr>
          <w:p w14:paraId="550AEA34">
            <w:pPr>
              <w:jc w:val="center"/>
              <w:rPr>
                <w:rFonts w:ascii="仿宋" w:hAnsi="仿宋" w:eastAsia="仿宋"/>
                <w:color w:val="000000"/>
                <w:szCs w:val="21"/>
                <w:u w:val="single"/>
              </w:rPr>
            </w:pPr>
          </w:p>
        </w:tc>
        <w:tc>
          <w:tcPr>
            <w:tcW w:w="1586" w:type="pct"/>
            <w:vAlign w:val="center"/>
          </w:tcPr>
          <w:p w14:paraId="42CFC66A">
            <w:pPr>
              <w:tabs>
                <w:tab w:val="left" w:pos="5355"/>
              </w:tabs>
              <w:rPr>
                <w:rFonts w:ascii="仿宋" w:hAnsi="仿宋" w:eastAsia="仿宋"/>
                <w:color w:val="000000"/>
                <w:szCs w:val="21"/>
              </w:rPr>
            </w:pPr>
          </w:p>
        </w:tc>
        <w:tc>
          <w:tcPr>
            <w:tcW w:w="1586" w:type="pct"/>
            <w:vAlign w:val="center"/>
          </w:tcPr>
          <w:p w14:paraId="5035E47D">
            <w:pPr>
              <w:tabs>
                <w:tab w:val="left" w:pos="5355"/>
              </w:tabs>
              <w:rPr>
                <w:rFonts w:ascii="仿宋" w:hAnsi="仿宋" w:eastAsia="仿宋"/>
                <w:color w:val="000000"/>
                <w:szCs w:val="21"/>
              </w:rPr>
            </w:pPr>
          </w:p>
        </w:tc>
      </w:tr>
      <w:tr w14:paraId="427B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71E3E9C2">
            <w:pPr>
              <w:tabs>
                <w:tab w:val="left" w:pos="5355"/>
              </w:tabs>
              <w:jc w:val="center"/>
              <w:rPr>
                <w:rFonts w:ascii="仿宋" w:hAnsi="仿宋" w:eastAsia="仿宋"/>
                <w:color w:val="000000"/>
                <w:szCs w:val="21"/>
              </w:rPr>
            </w:pPr>
          </w:p>
        </w:tc>
        <w:tc>
          <w:tcPr>
            <w:tcW w:w="1586" w:type="pct"/>
            <w:vAlign w:val="center"/>
          </w:tcPr>
          <w:p w14:paraId="6F5CAF56">
            <w:pPr>
              <w:jc w:val="center"/>
              <w:rPr>
                <w:rFonts w:ascii="仿宋" w:hAnsi="仿宋" w:eastAsia="仿宋"/>
                <w:color w:val="000000"/>
                <w:szCs w:val="21"/>
              </w:rPr>
            </w:pPr>
          </w:p>
        </w:tc>
        <w:tc>
          <w:tcPr>
            <w:tcW w:w="1586" w:type="pct"/>
            <w:vAlign w:val="center"/>
          </w:tcPr>
          <w:p w14:paraId="46B7E1A1">
            <w:pPr>
              <w:tabs>
                <w:tab w:val="left" w:pos="5355"/>
              </w:tabs>
              <w:rPr>
                <w:rFonts w:ascii="仿宋" w:hAnsi="仿宋" w:eastAsia="仿宋"/>
                <w:color w:val="000000"/>
                <w:szCs w:val="21"/>
              </w:rPr>
            </w:pPr>
          </w:p>
        </w:tc>
        <w:tc>
          <w:tcPr>
            <w:tcW w:w="1586" w:type="pct"/>
            <w:vAlign w:val="center"/>
          </w:tcPr>
          <w:p w14:paraId="62AF59B2">
            <w:pPr>
              <w:tabs>
                <w:tab w:val="left" w:pos="5355"/>
              </w:tabs>
              <w:rPr>
                <w:rFonts w:ascii="仿宋" w:hAnsi="仿宋" w:eastAsia="仿宋"/>
                <w:color w:val="000000"/>
                <w:szCs w:val="21"/>
              </w:rPr>
            </w:pPr>
          </w:p>
        </w:tc>
      </w:tr>
      <w:tr w14:paraId="39B5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621AAE8C">
            <w:pPr>
              <w:tabs>
                <w:tab w:val="left" w:pos="5355"/>
              </w:tabs>
              <w:jc w:val="center"/>
              <w:rPr>
                <w:rFonts w:ascii="仿宋" w:hAnsi="仿宋" w:eastAsia="仿宋"/>
                <w:color w:val="000000"/>
                <w:szCs w:val="21"/>
              </w:rPr>
            </w:pPr>
          </w:p>
        </w:tc>
        <w:tc>
          <w:tcPr>
            <w:tcW w:w="1586" w:type="pct"/>
            <w:vAlign w:val="center"/>
          </w:tcPr>
          <w:p w14:paraId="008EE2A5">
            <w:pPr>
              <w:tabs>
                <w:tab w:val="left" w:pos="5355"/>
              </w:tabs>
              <w:rPr>
                <w:rFonts w:ascii="仿宋" w:hAnsi="仿宋" w:eastAsia="仿宋"/>
                <w:color w:val="000000"/>
                <w:szCs w:val="21"/>
              </w:rPr>
            </w:pPr>
          </w:p>
        </w:tc>
        <w:tc>
          <w:tcPr>
            <w:tcW w:w="1586" w:type="pct"/>
            <w:vAlign w:val="center"/>
          </w:tcPr>
          <w:p w14:paraId="0DFD2D54">
            <w:pPr>
              <w:tabs>
                <w:tab w:val="left" w:pos="5355"/>
              </w:tabs>
              <w:rPr>
                <w:rFonts w:ascii="仿宋" w:hAnsi="仿宋" w:eastAsia="仿宋"/>
                <w:color w:val="000000"/>
                <w:szCs w:val="21"/>
              </w:rPr>
            </w:pPr>
          </w:p>
        </w:tc>
        <w:tc>
          <w:tcPr>
            <w:tcW w:w="1586" w:type="pct"/>
            <w:vAlign w:val="center"/>
          </w:tcPr>
          <w:p w14:paraId="5CCF6919">
            <w:pPr>
              <w:tabs>
                <w:tab w:val="left" w:pos="5355"/>
              </w:tabs>
              <w:rPr>
                <w:rFonts w:ascii="仿宋" w:hAnsi="仿宋" w:eastAsia="仿宋"/>
                <w:color w:val="000000"/>
                <w:szCs w:val="21"/>
              </w:rPr>
            </w:pPr>
          </w:p>
        </w:tc>
      </w:tr>
      <w:tr w14:paraId="2DE0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406B347D">
            <w:pPr>
              <w:tabs>
                <w:tab w:val="left" w:pos="5355"/>
              </w:tabs>
              <w:jc w:val="center"/>
              <w:rPr>
                <w:rFonts w:ascii="仿宋" w:hAnsi="仿宋" w:eastAsia="仿宋"/>
                <w:color w:val="000000"/>
                <w:szCs w:val="21"/>
              </w:rPr>
            </w:pPr>
          </w:p>
        </w:tc>
        <w:tc>
          <w:tcPr>
            <w:tcW w:w="1586" w:type="pct"/>
            <w:vAlign w:val="center"/>
          </w:tcPr>
          <w:p w14:paraId="09DF0A30">
            <w:pPr>
              <w:tabs>
                <w:tab w:val="left" w:pos="5355"/>
              </w:tabs>
              <w:rPr>
                <w:rFonts w:ascii="仿宋" w:hAnsi="仿宋" w:eastAsia="仿宋"/>
                <w:color w:val="000000"/>
                <w:szCs w:val="21"/>
              </w:rPr>
            </w:pPr>
          </w:p>
        </w:tc>
        <w:tc>
          <w:tcPr>
            <w:tcW w:w="1586" w:type="pct"/>
            <w:vAlign w:val="center"/>
          </w:tcPr>
          <w:p w14:paraId="03355325">
            <w:pPr>
              <w:tabs>
                <w:tab w:val="left" w:pos="5355"/>
              </w:tabs>
              <w:rPr>
                <w:rFonts w:ascii="仿宋" w:hAnsi="仿宋" w:eastAsia="仿宋"/>
                <w:color w:val="000000"/>
                <w:szCs w:val="21"/>
              </w:rPr>
            </w:pPr>
          </w:p>
        </w:tc>
        <w:tc>
          <w:tcPr>
            <w:tcW w:w="1586" w:type="pct"/>
            <w:vAlign w:val="center"/>
          </w:tcPr>
          <w:p w14:paraId="1C987CC4">
            <w:pPr>
              <w:tabs>
                <w:tab w:val="left" w:pos="5355"/>
              </w:tabs>
              <w:rPr>
                <w:rFonts w:ascii="仿宋" w:hAnsi="仿宋" w:eastAsia="仿宋"/>
                <w:color w:val="000000"/>
                <w:szCs w:val="21"/>
              </w:rPr>
            </w:pPr>
          </w:p>
        </w:tc>
      </w:tr>
      <w:tr w14:paraId="37AF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1068371B">
            <w:pPr>
              <w:tabs>
                <w:tab w:val="left" w:pos="5355"/>
              </w:tabs>
              <w:jc w:val="center"/>
              <w:rPr>
                <w:rFonts w:ascii="仿宋" w:hAnsi="仿宋" w:eastAsia="仿宋"/>
                <w:color w:val="000000"/>
                <w:szCs w:val="21"/>
              </w:rPr>
            </w:pPr>
          </w:p>
        </w:tc>
        <w:tc>
          <w:tcPr>
            <w:tcW w:w="1586" w:type="pct"/>
            <w:vAlign w:val="center"/>
          </w:tcPr>
          <w:p w14:paraId="3FA0AEC8">
            <w:pPr>
              <w:tabs>
                <w:tab w:val="left" w:pos="5355"/>
              </w:tabs>
              <w:rPr>
                <w:rFonts w:ascii="仿宋" w:hAnsi="仿宋" w:eastAsia="仿宋"/>
                <w:color w:val="000000"/>
                <w:szCs w:val="21"/>
              </w:rPr>
            </w:pPr>
          </w:p>
        </w:tc>
        <w:tc>
          <w:tcPr>
            <w:tcW w:w="1586" w:type="pct"/>
            <w:vAlign w:val="center"/>
          </w:tcPr>
          <w:p w14:paraId="5C467941">
            <w:pPr>
              <w:tabs>
                <w:tab w:val="left" w:pos="5355"/>
              </w:tabs>
              <w:rPr>
                <w:rFonts w:ascii="仿宋" w:hAnsi="仿宋" w:eastAsia="仿宋"/>
                <w:color w:val="000000"/>
                <w:szCs w:val="21"/>
              </w:rPr>
            </w:pPr>
          </w:p>
        </w:tc>
        <w:tc>
          <w:tcPr>
            <w:tcW w:w="1586" w:type="pct"/>
            <w:vAlign w:val="center"/>
          </w:tcPr>
          <w:p w14:paraId="16AD2065">
            <w:pPr>
              <w:tabs>
                <w:tab w:val="left" w:pos="5355"/>
              </w:tabs>
              <w:rPr>
                <w:rFonts w:ascii="仿宋" w:hAnsi="仿宋" w:eastAsia="仿宋"/>
                <w:color w:val="000000"/>
                <w:szCs w:val="21"/>
              </w:rPr>
            </w:pPr>
          </w:p>
        </w:tc>
      </w:tr>
      <w:tr w14:paraId="1D2D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321D8B64">
            <w:pPr>
              <w:tabs>
                <w:tab w:val="left" w:pos="5355"/>
              </w:tabs>
              <w:jc w:val="center"/>
              <w:rPr>
                <w:rFonts w:ascii="仿宋" w:hAnsi="仿宋" w:eastAsia="仿宋"/>
                <w:color w:val="000000"/>
                <w:szCs w:val="21"/>
              </w:rPr>
            </w:pPr>
          </w:p>
        </w:tc>
        <w:tc>
          <w:tcPr>
            <w:tcW w:w="1586" w:type="pct"/>
            <w:vAlign w:val="center"/>
          </w:tcPr>
          <w:p w14:paraId="325E14D0">
            <w:pPr>
              <w:tabs>
                <w:tab w:val="left" w:pos="5355"/>
              </w:tabs>
              <w:rPr>
                <w:rFonts w:ascii="仿宋" w:hAnsi="仿宋" w:eastAsia="仿宋"/>
                <w:color w:val="000000"/>
                <w:szCs w:val="21"/>
              </w:rPr>
            </w:pPr>
          </w:p>
        </w:tc>
        <w:tc>
          <w:tcPr>
            <w:tcW w:w="1586" w:type="pct"/>
            <w:vAlign w:val="center"/>
          </w:tcPr>
          <w:p w14:paraId="42143029">
            <w:pPr>
              <w:tabs>
                <w:tab w:val="left" w:pos="5355"/>
              </w:tabs>
              <w:rPr>
                <w:rFonts w:ascii="仿宋" w:hAnsi="仿宋" w:eastAsia="仿宋"/>
                <w:color w:val="000000"/>
                <w:szCs w:val="21"/>
              </w:rPr>
            </w:pPr>
          </w:p>
        </w:tc>
        <w:tc>
          <w:tcPr>
            <w:tcW w:w="1586" w:type="pct"/>
            <w:vAlign w:val="center"/>
          </w:tcPr>
          <w:p w14:paraId="01025D0B">
            <w:pPr>
              <w:tabs>
                <w:tab w:val="left" w:pos="5355"/>
              </w:tabs>
              <w:rPr>
                <w:rFonts w:ascii="仿宋" w:hAnsi="仿宋" w:eastAsia="仿宋"/>
                <w:color w:val="000000"/>
                <w:szCs w:val="21"/>
              </w:rPr>
            </w:pPr>
          </w:p>
        </w:tc>
      </w:tr>
      <w:tr w14:paraId="4B81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 w:type="pct"/>
            <w:vAlign w:val="center"/>
          </w:tcPr>
          <w:p w14:paraId="03B2523F">
            <w:pPr>
              <w:tabs>
                <w:tab w:val="left" w:pos="5355"/>
              </w:tabs>
              <w:jc w:val="center"/>
              <w:rPr>
                <w:rFonts w:ascii="仿宋" w:hAnsi="仿宋" w:eastAsia="仿宋"/>
                <w:color w:val="000000"/>
                <w:szCs w:val="21"/>
              </w:rPr>
            </w:pPr>
          </w:p>
        </w:tc>
        <w:tc>
          <w:tcPr>
            <w:tcW w:w="1586" w:type="pct"/>
            <w:vAlign w:val="center"/>
          </w:tcPr>
          <w:p w14:paraId="59957B9E">
            <w:pPr>
              <w:tabs>
                <w:tab w:val="left" w:pos="5355"/>
              </w:tabs>
              <w:rPr>
                <w:rFonts w:ascii="仿宋" w:hAnsi="仿宋" w:eastAsia="仿宋"/>
                <w:color w:val="000000"/>
                <w:szCs w:val="21"/>
              </w:rPr>
            </w:pPr>
          </w:p>
        </w:tc>
        <w:tc>
          <w:tcPr>
            <w:tcW w:w="1586" w:type="pct"/>
            <w:vAlign w:val="center"/>
          </w:tcPr>
          <w:p w14:paraId="00AE12C7">
            <w:pPr>
              <w:tabs>
                <w:tab w:val="left" w:pos="5355"/>
              </w:tabs>
              <w:rPr>
                <w:rFonts w:ascii="仿宋" w:hAnsi="仿宋" w:eastAsia="仿宋"/>
                <w:color w:val="000000"/>
                <w:szCs w:val="21"/>
              </w:rPr>
            </w:pPr>
          </w:p>
        </w:tc>
        <w:tc>
          <w:tcPr>
            <w:tcW w:w="1586" w:type="pct"/>
            <w:vAlign w:val="center"/>
          </w:tcPr>
          <w:p w14:paraId="2FBBF423">
            <w:pPr>
              <w:tabs>
                <w:tab w:val="left" w:pos="5355"/>
              </w:tabs>
              <w:rPr>
                <w:rFonts w:ascii="仿宋" w:hAnsi="仿宋" w:eastAsia="仿宋"/>
                <w:color w:val="000000"/>
                <w:szCs w:val="21"/>
              </w:rPr>
            </w:pPr>
          </w:p>
        </w:tc>
      </w:tr>
    </w:tbl>
    <w:p w14:paraId="47751ECD">
      <w:pPr>
        <w:rPr>
          <w:rFonts w:ascii="仿宋" w:hAnsi="仿宋" w:eastAsia="仿宋"/>
          <w:szCs w:val="21"/>
        </w:rPr>
      </w:pPr>
    </w:p>
    <w:p w14:paraId="7D9ACD78">
      <w:pPr>
        <w:widowControl/>
        <w:jc w:val="left"/>
      </w:pPr>
      <w:r>
        <w:br w:type="page"/>
      </w:r>
    </w:p>
    <w:p w14:paraId="65C11E2E">
      <w:pPr>
        <w:sectPr>
          <w:pgSz w:w="16838" w:h="11906" w:orient="landscape"/>
          <w:pgMar w:top="1800" w:right="1440" w:bottom="1800" w:left="1440" w:header="851" w:footer="992" w:gutter="0"/>
          <w:cols w:space="425" w:num="1"/>
          <w:docGrid w:type="lines" w:linePitch="312" w:charSpace="0"/>
        </w:sectPr>
      </w:pPr>
    </w:p>
    <w:p w14:paraId="5A9A2687">
      <w:pPr>
        <w:spacing w:line="360" w:lineRule="auto"/>
        <w:rPr>
          <w:rFonts w:ascii="仿宋" w:hAnsi="仿宋" w:eastAsia="仿宋"/>
          <w:b/>
        </w:rPr>
      </w:pPr>
      <w:r>
        <w:rPr>
          <w:rFonts w:hint="eastAsia" w:ascii="仿宋" w:hAnsi="仿宋" w:eastAsia="仿宋"/>
          <w:b/>
        </w:rPr>
        <w:t>附件：</w:t>
      </w:r>
    </w:p>
    <w:p w14:paraId="369BDC53">
      <w:pPr>
        <w:spacing w:line="360" w:lineRule="auto"/>
        <w:rPr>
          <w:rFonts w:ascii="仿宋" w:hAnsi="仿宋" w:eastAsia="仿宋"/>
          <w:b/>
        </w:rPr>
      </w:pPr>
      <w:r>
        <w:rPr>
          <w:rFonts w:hint="eastAsia" w:ascii="仿宋" w:hAnsi="仿宋" w:eastAsia="仿宋"/>
          <w:b/>
        </w:rPr>
        <w:t>技术参数指标：</w:t>
      </w:r>
    </w:p>
    <w:p w14:paraId="1817DE7E">
      <w:pPr>
        <w:spacing w:line="360" w:lineRule="auto"/>
        <w:rPr>
          <w:rFonts w:hint="default" w:ascii="仿宋" w:hAnsi="仿宋" w:eastAsia="仿宋"/>
          <w:b/>
          <w:lang w:val="en-US" w:eastAsia="zh-CN"/>
        </w:rPr>
      </w:pPr>
      <w:r>
        <w:rPr>
          <w:rFonts w:hint="eastAsia" w:ascii="仿宋" w:hAnsi="仿宋" w:eastAsia="仿宋"/>
          <w:b/>
        </w:rPr>
        <w:t>脑电信号与肌电信号同步采集融合平台</w:t>
      </w:r>
      <w:r>
        <w:rPr>
          <w:rFonts w:hint="eastAsia" w:ascii="仿宋" w:hAnsi="仿宋" w:eastAsia="仿宋"/>
          <w:b/>
          <w:lang w:val="en-US" w:eastAsia="zh-CN"/>
        </w:rPr>
        <w:t xml:space="preserve"> 1套</w:t>
      </w:r>
      <w:bookmarkStart w:id="9" w:name="_GoBack"/>
      <w:bookmarkEnd w:id="9"/>
    </w:p>
    <w:p w14:paraId="44BBAC0A">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脑电信号与肌电信号同步采集融合平台涵盖：脑电事件电位分析系统、表面肌电信号采集分析系统、多模态数据同步采集融合平台。</w:t>
      </w:r>
    </w:p>
    <w:p w14:paraId="31C025BB">
      <w:pPr>
        <w:adjustRightInd w:val="0"/>
        <w:snapToGrid w:val="0"/>
        <w:spacing w:line="360" w:lineRule="auto"/>
        <w:rPr>
          <w:rFonts w:ascii="仿宋" w:hAnsi="仿宋" w:eastAsia="仿宋"/>
          <w:b/>
          <w:bCs/>
          <w:szCs w:val="21"/>
        </w:rPr>
      </w:pPr>
      <w:r>
        <w:rPr>
          <w:rFonts w:hint="eastAsia" w:ascii="仿宋" w:hAnsi="仿宋" w:eastAsia="仿宋"/>
          <w:b/>
          <w:bCs/>
          <w:szCs w:val="21"/>
        </w:rPr>
        <w:t>一、EEG/ERP脑电事件相关电位分析系统参数（模块一）：</w:t>
      </w:r>
    </w:p>
    <w:p w14:paraId="3F2D3737">
      <w:pPr>
        <w:adjustRightInd w:val="0"/>
        <w:snapToGrid w:val="0"/>
        <w:spacing w:line="360" w:lineRule="auto"/>
        <w:ind w:firstLine="420" w:firstLineChars="200"/>
        <w:rPr>
          <w:rFonts w:ascii="仿宋" w:hAnsi="仿宋" w:eastAsia="仿宋"/>
          <w:b/>
          <w:szCs w:val="21"/>
        </w:rPr>
      </w:pPr>
      <w:r>
        <w:rPr>
          <w:rFonts w:hint="eastAsia" w:ascii="仿宋" w:hAnsi="仿宋" w:eastAsia="仿宋"/>
          <w:b/>
          <w:szCs w:val="21"/>
        </w:rPr>
        <w:t>1</w:t>
      </w:r>
      <w:r>
        <w:rPr>
          <w:rFonts w:ascii="仿宋" w:hAnsi="仿宋" w:eastAsia="仿宋"/>
          <w:b/>
          <w:szCs w:val="21"/>
        </w:rPr>
        <w:t>.</w:t>
      </w:r>
      <w:r>
        <w:rPr>
          <w:rFonts w:hint="eastAsia" w:ascii="仿宋" w:hAnsi="仿宋" w:eastAsia="仿宋"/>
          <w:b/>
          <w:szCs w:val="21"/>
        </w:rPr>
        <w:t>性能指标</w:t>
      </w:r>
    </w:p>
    <w:p w14:paraId="0EC0F0A8">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1</w:t>
      </w:r>
      <w:r>
        <w:rPr>
          <w:rFonts w:hint="eastAsia" w:ascii="仿宋" w:hAnsi="仿宋" w:eastAsia="仿宋"/>
          <w:szCs w:val="21"/>
        </w:rPr>
        <w:t>.具有ABR、EEG、ERP、ECOG、SPIKE等采集分析功能。</w:t>
      </w:r>
    </w:p>
    <w:p w14:paraId="2E39A24C">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2</w:t>
      </w:r>
      <w:r>
        <w:rPr>
          <w:rFonts w:hint="eastAsia" w:ascii="仿宋" w:hAnsi="仿宋" w:eastAsia="仿宋"/>
          <w:szCs w:val="21"/>
        </w:rPr>
        <w:t>.单体放大器物理通道数不少于70导，采用硬件同步盒保证同步性。</w:t>
      </w:r>
    </w:p>
    <w:p w14:paraId="59354B7E">
      <w:pPr>
        <w:adjustRightInd w:val="0"/>
        <w:snapToGrid w:val="0"/>
        <w:spacing w:line="360" w:lineRule="auto"/>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3</w:t>
      </w:r>
      <w:r>
        <w:rPr>
          <w:rFonts w:hint="eastAsia" w:ascii="仿宋" w:hAnsi="仿宋" w:eastAsia="仿宋"/>
          <w:szCs w:val="21"/>
        </w:rPr>
        <w:t>.放大器面板电极线插孔数量：≥64个，可连接常规脑电盘电极使用。</w:t>
      </w:r>
    </w:p>
    <w:p w14:paraId="3EDDB953">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4</w:t>
      </w:r>
      <w:r>
        <w:rPr>
          <w:rFonts w:hint="eastAsia" w:ascii="仿宋" w:hAnsi="仿宋" w:eastAsia="仿宋"/>
          <w:szCs w:val="21"/>
        </w:rPr>
        <w:t>.系统需具备64个独立脑电（EEG）采集通道，并支持64通道同步采样，每通道采样率≥20,000Hz，所有通道的输入阻抗须≥10GOhms，A/D转换分辨率须达到24Bit，共模抑制比≥110dB，确保对工频干扰具备充分抑制能力，在DC～200Hz宽带范围内，输入等效噪声须≤0.5uVRMS，交流（AC）耦合模式下，信号分辨率须≥5nV/bit。</w:t>
      </w:r>
    </w:p>
    <w:p w14:paraId="160BD238">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5</w:t>
      </w:r>
      <w:r>
        <w:rPr>
          <w:rFonts w:hint="eastAsia" w:ascii="仿宋" w:hAnsi="仿宋" w:eastAsia="仿宋"/>
          <w:szCs w:val="21"/>
        </w:rPr>
        <w:t>.放大器具有AC与DC两种采集方式。</w:t>
      </w:r>
    </w:p>
    <w:p w14:paraId="0F9FAC46">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6</w:t>
      </w:r>
      <w:r>
        <w:rPr>
          <w:rFonts w:hint="eastAsia" w:ascii="仿宋" w:hAnsi="仿宋" w:eastAsia="仿宋"/>
          <w:szCs w:val="21"/>
        </w:rPr>
        <w:t>.放大器在只增加核磁兼容电极帽的情况下就可以支持核磁下数据采集，不需要更换放大器。</w:t>
      </w:r>
    </w:p>
    <w:p w14:paraId="554FC4FD">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7</w:t>
      </w:r>
      <w:r>
        <w:rPr>
          <w:rFonts w:hint="eastAsia" w:ascii="仿宋" w:hAnsi="仿宋" w:eastAsia="仿宋"/>
          <w:szCs w:val="21"/>
        </w:rPr>
        <w:t>.数据传输：USB</w:t>
      </w:r>
      <w:r>
        <w:rPr>
          <w:rFonts w:ascii="仿宋" w:hAnsi="仿宋" w:eastAsia="仿宋"/>
          <w:szCs w:val="21"/>
        </w:rPr>
        <w:t>3.0</w:t>
      </w:r>
      <w:r>
        <w:rPr>
          <w:rFonts w:hint="eastAsia" w:ascii="仿宋" w:hAnsi="仿宋" w:eastAsia="仿宋"/>
          <w:szCs w:val="21"/>
        </w:rPr>
        <w:t>传输。</w:t>
      </w:r>
    </w:p>
    <w:p w14:paraId="30DF7BA1">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8</w:t>
      </w:r>
      <w:r>
        <w:rPr>
          <w:rFonts w:hint="eastAsia" w:ascii="仿宋" w:hAnsi="仿宋" w:eastAsia="仿宋"/>
          <w:szCs w:val="21"/>
        </w:rPr>
        <w:t>.数据同步盒：应至少提供3路独立物理接口，可同时连接并口和/或串口设备，并支持3路设备并行在线工作；须具备USB Type-A或Type-C上行接口，可实时将TTL/CMOS同步信号转发至任意并口或串口通道；同步盒具备WIFI或蓝牙模块，可通过无线方式向已配对的并口/串口设备发送同步信号。</w:t>
      </w:r>
    </w:p>
    <w:p w14:paraId="55AE94E6">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1</w:t>
      </w:r>
      <w:r>
        <w:rPr>
          <w:rFonts w:ascii="仿宋" w:hAnsi="仿宋" w:eastAsia="仿宋"/>
          <w:szCs w:val="21"/>
        </w:rPr>
        <w:t>.9</w:t>
      </w:r>
      <w:r>
        <w:rPr>
          <w:rFonts w:hint="eastAsia" w:ascii="仿宋" w:hAnsi="仿宋" w:eastAsia="仿宋"/>
          <w:szCs w:val="21"/>
        </w:rPr>
        <w:t>.配套刺激模块软件须具备单一界面下同时连接并独立控制≥4台电刺激器的能力，软件须内置“4x1环形高精度刺激模式”，系统可自动计算并输出各通道相位、电流强度与定时关系，刺激输出界面能显示已用刺激时间、设定刺激电流幅值、剩余刺激时间、实际输出电流瞬时值，</w:t>
      </w:r>
      <w:r>
        <w:rPr>
          <w:rFonts w:hint="eastAsia" w:ascii="仿宋" w:hAnsi="仿宋" w:eastAsia="仿宋"/>
          <w:b/>
          <w:szCs w:val="21"/>
        </w:rPr>
        <w:t>须提供技术白皮书</w:t>
      </w:r>
      <w:r>
        <w:rPr>
          <w:rFonts w:hint="eastAsia" w:ascii="仿宋" w:hAnsi="仿宋" w:eastAsia="仿宋"/>
          <w:szCs w:val="21"/>
        </w:rPr>
        <w:t>。</w:t>
      </w:r>
    </w:p>
    <w:p w14:paraId="4CC88006">
      <w:pPr>
        <w:adjustRightInd w:val="0"/>
        <w:snapToGrid w:val="0"/>
        <w:spacing w:line="360" w:lineRule="auto"/>
        <w:ind w:firstLine="420" w:firstLineChars="200"/>
        <w:rPr>
          <w:rFonts w:ascii="仿宋" w:hAnsi="仿宋" w:eastAsia="仿宋"/>
          <w:b/>
          <w:szCs w:val="21"/>
        </w:rPr>
      </w:pPr>
      <w:r>
        <w:rPr>
          <w:rFonts w:ascii="仿宋" w:hAnsi="仿宋" w:eastAsia="仿宋"/>
          <w:b/>
          <w:szCs w:val="21"/>
        </w:rPr>
        <w:t>2.</w:t>
      </w:r>
      <w:r>
        <w:rPr>
          <w:rFonts w:hint="eastAsia" w:ascii="仿宋" w:hAnsi="仿宋" w:eastAsia="仿宋"/>
          <w:b/>
          <w:szCs w:val="21"/>
        </w:rPr>
        <w:t>脑电采集和分析</w:t>
      </w:r>
    </w:p>
    <w:p w14:paraId="20769D9A">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.1.支持连续或分段采集，支持单/双极记录且参考电极可根据实验要求选择，在数据采集过程中所有事件均自动检测并记录，反应代码和刺激代码可以有效分离。</w:t>
      </w:r>
    </w:p>
    <w:p w14:paraId="08E71662">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.2.放大器、刺激生成系统、脑电采集（包括输入阻抗测试）等均由系统自动校准，使刺激与记录严格同步。</w:t>
      </w:r>
    </w:p>
    <w:p w14:paraId="4E07E746">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3</w:t>
      </w:r>
      <w:r>
        <w:rPr>
          <w:rFonts w:hint="eastAsia" w:ascii="仿宋" w:hAnsi="仿宋" w:eastAsia="仿宋"/>
          <w:szCs w:val="21"/>
        </w:rPr>
        <w:t>.支持根据实验和研究需求进行数据滤波、数据重组、去除眼电干扰及伪迹剃除处理，并支持将在线数据转接到Matlab软件。</w:t>
      </w:r>
    </w:p>
    <w:p w14:paraId="011AB28E">
      <w:pPr>
        <w:adjustRightInd w:val="0"/>
        <w:snapToGrid w:val="0"/>
        <w:spacing w:line="360" w:lineRule="auto"/>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4</w:t>
      </w:r>
      <w:r>
        <w:rPr>
          <w:rFonts w:hint="eastAsia" w:ascii="仿宋" w:hAnsi="仿宋" w:eastAsia="仿宋"/>
          <w:szCs w:val="21"/>
        </w:rPr>
        <w:t>.支持以下数据展示与数据分析功能：2D和3D脑电地形图及其动态在线呈现、滤波（从傅氏变换到小波变换）、事件相关电位的脑电频谱分析及时域特征分析、叠加平均、PCA/ICA成分分析。</w:t>
      </w:r>
    </w:p>
    <w:p w14:paraId="1CDB175E">
      <w:pPr>
        <w:adjustRightInd w:val="0"/>
        <w:snapToGrid w:val="0"/>
        <w:spacing w:line="360" w:lineRule="auto"/>
        <w:ind w:firstLine="420" w:firstLineChars="200"/>
        <w:rPr>
          <w:rFonts w:ascii="仿宋" w:hAnsi="仿宋" w:eastAsia="仿宋"/>
          <w:szCs w:val="21"/>
        </w:rPr>
      </w:pPr>
      <w:r>
        <w:rPr>
          <w:rFonts w:ascii="仿宋" w:hAnsi="仿宋" w:eastAsia="仿宋"/>
          <w:szCs w:val="21"/>
        </w:rPr>
        <w:t>2.5</w:t>
      </w:r>
      <w:r>
        <w:rPr>
          <w:rFonts w:hint="eastAsia" w:ascii="仿宋" w:hAnsi="仿宋" w:eastAsia="仿宋"/>
          <w:szCs w:val="21"/>
        </w:rPr>
        <w:t>.支持使用ASCII码读入和输出数据，并提供宏命令以进行数据批处理。</w:t>
      </w:r>
    </w:p>
    <w:p w14:paraId="55E8700A">
      <w:pPr>
        <w:adjustRightInd w:val="0"/>
        <w:snapToGrid w:val="0"/>
        <w:spacing w:line="360" w:lineRule="auto"/>
        <w:ind w:firstLine="420" w:firstLineChars="200"/>
        <w:rPr>
          <w:rFonts w:ascii="仿宋" w:hAnsi="仿宋" w:eastAsia="仿宋"/>
          <w:szCs w:val="21"/>
        </w:rPr>
      </w:pPr>
      <w:r>
        <w:rPr>
          <w:rFonts w:ascii="仿宋" w:hAnsi="仿宋" w:eastAsia="仿宋"/>
          <w:szCs w:val="21"/>
        </w:rPr>
        <w:t>2.6</w:t>
      </w:r>
      <w:r>
        <w:rPr>
          <w:rFonts w:hint="eastAsia" w:ascii="仿宋" w:hAnsi="仿宋" w:eastAsia="仿宋"/>
          <w:szCs w:val="21"/>
        </w:rPr>
        <w:t>.刺激软件可自由编程，可实现声音、文字、文本、图片等不同类型实验程序。</w:t>
      </w:r>
    </w:p>
    <w:p w14:paraId="6A2DFD05">
      <w:pPr>
        <w:adjustRightInd w:val="0"/>
        <w:snapToGrid w:val="0"/>
        <w:spacing w:line="360" w:lineRule="auto"/>
        <w:ind w:firstLine="420" w:firstLineChars="200"/>
        <w:rPr>
          <w:rFonts w:ascii="仿宋" w:hAnsi="仿宋" w:eastAsia="仿宋"/>
          <w:szCs w:val="21"/>
        </w:rPr>
      </w:pPr>
      <w:r>
        <w:rPr>
          <w:rFonts w:ascii="仿宋" w:hAnsi="仿宋" w:eastAsia="仿宋"/>
          <w:szCs w:val="21"/>
        </w:rPr>
        <w:t>2.7</w:t>
      </w:r>
      <w:r>
        <w:rPr>
          <w:rFonts w:hint="eastAsia" w:ascii="仿宋" w:hAnsi="仿宋" w:eastAsia="仿宋"/>
          <w:szCs w:val="21"/>
        </w:rPr>
        <w:t>.支持在TaskEvent中执行脚本，提供属性查找与替代功能。</w:t>
      </w:r>
    </w:p>
    <w:p w14:paraId="03B0575E">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2.8.具备反应时间测试功能模块，被试按下测试按钮后，屏幕随机位置出现刺激点，立即点击刺激点，系统自动记录从刺激出现到点击完成的时间间隔，单次测试支持≥1</w:t>
      </w:r>
      <w:r>
        <w:rPr>
          <w:rFonts w:ascii="仿宋" w:hAnsi="仿宋" w:eastAsia="仿宋"/>
          <w:szCs w:val="21"/>
        </w:rPr>
        <w:t>0</w:t>
      </w:r>
      <w:r>
        <w:rPr>
          <w:rFonts w:hint="eastAsia" w:ascii="仿宋" w:hAnsi="仿宋" w:eastAsia="仿宋"/>
          <w:szCs w:val="21"/>
        </w:rPr>
        <w:t>次有效试验。</w:t>
      </w:r>
    </w:p>
    <w:p w14:paraId="0B04FA4A">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2.9.支持多人同步采集功能，无需依赖第三方软件，一套采集软件可以支持8个放大器同时采集，实现8名被试的同步脑电信号采集与行为反应时记录，</w:t>
      </w:r>
      <w:r>
        <w:rPr>
          <w:rFonts w:hint="eastAsia" w:ascii="仿宋" w:hAnsi="仿宋" w:eastAsia="仿宋"/>
          <w:b/>
          <w:szCs w:val="21"/>
        </w:rPr>
        <w:t>并提供采集界面软件截图（需清晰显示8人同步采集界面、事件标记等内容）</w:t>
      </w:r>
      <w:r>
        <w:rPr>
          <w:rFonts w:hint="eastAsia" w:ascii="仿宋" w:hAnsi="仿宋" w:eastAsia="仿宋"/>
          <w:szCs w:val="21"/>
        </w:rPr>
        <w:t>。</w:t>
      </w:r>
    </w:p>
    <w:p w14:paraId="5ED874A1">
      <w:pPr>
        <w:adjustRightInd w:val="0"/>
        <w:snapToGrid w:val="0"/>
        <w:spacing w:line="360" w:lineRule="auto"/>
        <w:ind w:firstLine="420" w:firstLineChars="200"/>
        <w:rPr>
          <w:rFonts w:ascii="仿宋" w:hAnsi="仿宋" w:eastAsia="仿宋"/>
          <w:b/>
          <w:szCs w:val="21"/>
        </w:rPr>
      </w:pPr>
      <w:r>
        <w:rPr>
          <w:rFonts w:hint="eastAsia" w:ascii="仿宋" w:hAnsi="仿宋" w:eastAsia="仿宋"/>
          <w:b/>
          <w:szCs w:val="21"/>
        </w:rPr>
        <w:t>3</w:t>
      </w:r>
      <w:r>
        <w:rPr>
          <w:rFonts w:ascii="仿宋" w:hAnsi="仿宋" w:eastAsia="仿宋"/>
          <w:b/>
          <w:szCs w:val="21"/>
        </w:rPr>
        <w:t>.</w:t>
      </w:r>
      <w:r>
        <w:rPr>
          <w:rFonts w:hint="eastAsia" w:ascii="仿宋" w:hAnsi="仿宋" w:eastAsia="仿宋"/>
          <w:b/>
          <w:szCs w:val="21"/>
        </w:rPr>
        <w:t>刺激呈现/采集分析系统</w:t>
      </w:r>
    </w:p>
    <w:p w14:paraId="0BBC35F1">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.1</w:t>
      </w:r>
      <w:r>
        <w:rPr>
          <w:rFonts w:hint="eastAsia" w:ascii="仿宋" w:hAnsi="仿宋" w:eastAsia="仿宋"/>
          <w:szCs w:val="21"/>
        </w:rPr>
        <w:t>.工作站</w:t>
      </w:r>
      <w:r>
        <w:rPr>
          <w:rFonts w:ascii="仿宋" w:hAnsi="仿宋" w:eastAsia="仿宋"/>
          <w:szCs w:val="21"/>
        </w:rPr>
        <w:t>2套：CPU主频：≥3.2GHz,运行内存容量：≥32GB，独立显卡：≥2GB，硬盘容量：≥2TB，摄像头支持集成或外接摄像头（分辨率不低于4K），提供正版操作系统</w:t>
      </w:r>
      <w:r>
        <w:rPr>
          <w:rFonts w:hint="eastAsia" w:ascii="仿宋" w:hAnsi="仿宋" w:eastAsia="仿宋"/>
          <w:szCs w:val="21"/>
        </w:rPr>
        <w:t>。</w:t>
      </w:r>
    </w:p>
    <w:p w14:paraId="54252B54">
      <w:pPr>
        <w:adjustRightInd w:val="0"/>
        <w:snapToGrid w:val="0"/>
        <w:spacing w:line="360" w:lineRule="auto"/>
        <w:ind w:firstLine="420" w:firstLineChars="200"/>
        <w:rPr>
          <w:rFonts w:ascii="仿宋" w:hAnsi="仿宋" w:eastAsia="仿宋"/>
          <w:szCs w:val="21"/>
        </w:rPr>
      </w:pPr>
      <w:r>
        <w:rPr>
          <w:rFonts w:ascii="仿宋" w:hAnsi="仿宋" w:eastAsia="仿宋"/>
          <w:szCs w:val="21"/>
        </w:rPr>
        <w:t>3.2</w:t>
      </w:r>
      <w:r>
        <w:rPr>
          <w:rFonts w:hint="eastAsia" w:ascii="仿宋" w:hAnsi="仿宋" w:eastAsia="仿宋"/>
          <w:szCs w:val="21"/>
        </w:rPr>
        <w:t>.用于软件操作与演示的</w:t>
      </w:r>
      <w:r>
        <w:rPr>
          <w:rFonts w:ascii="仿宋" w:hAnsi="仿宋" w:eastAsia="仿宋"/>
          <w:szCs w:val="21"/>
        </w:rPr>
        <w:t>27寸显示器2台，用于被试专用27寸显示器</w:t>
      </w:r>
      <w:r>
        <w:rPr>
          <w:rFonts w:hint="eastAsia" w:ascii="仿宋" w:hAnsi="仿宋" w:eastAsia="仿宋"/>
          <w:szCs w:val="21"/>
        </w:rPr>
        <w:t>1</w:t>
      </w:r>
      <w:r>
        <w:rPr>
          <w:rFonts w:ascii="仿宋" w:hAnsi="仿宋" w:eastAsia="仿宋"/>
          <w:szCs w:val="21"/>
        </w:rPr>
        <w:t>台。</w:t>
      </w:r>
    </w:p>
    <w:p w14:paraId="5695C27C">
      <w:pPr>
        <w:adjustRightInd w:val="0"/>
        <w:snapToGrid w:val="0"/>
        <w:spacing w:line="360" w:lineRule="auto"/>
        <w:ind w:firstLine="420" w:firstLineChars="200"/>
        <w:rPr>
          <w:rFonts w:ascii="仿宋" w:hAnsi="仿宋" w:eastAsia="仿宋"/>
          <w:b/>
          <w:szCs w:val="21"/>
        </w:rPr>
      </w:pPr>
      <w:r>
        <w:rPr>
          <w:rFonts w:ascii="仿宋" w:hAnsi="仿宋" w:eastAsia="仿宋"/>
          <w:b/>
          <w:szCs w:val="21"/>
        </w:rPr>
        <w:t>4</w:t>
      </w:r>
      <w:r>
        <w:rPr>
          <w:rFonts w:hint="eastAsia" w:ascii="仿宋" w:hAnsi="仿宋" w:eastAsia="仿宋"/>
          <w:b/>
          <w:szCs w:val="21"/>
        </w:rPr>
        <w:t>.脑电电极帽</w:t>
      </w:r>
    </w:p>
    <w:p w14:paraId="181E0D75">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提供6</w:t>
      </w:r>
      <w:r>
        <w:rPr>
          <w:rFonts w:ascii="仿宋" w:hAnsi="仿宋" w:eastAsia="仿宋"/>
          <w:szCs w:val="21"/>
        </w:rPr>
        <w:t>4</w:t>
      </w:r>
      <w:r>
        <w:rPr>
          <w:rFonts w:hint="eastAsia" w:ascii="仿宋" w:hAnsi="仿宋" w:eastAsia="仿宋"/>
          <w:szCs w:val="21"/>
        </w:rPr>
        <w:t>导银/氯化银(Ag/AgC1)电极帽与盐水脑电电极帽：</w:t>
      </w:r>
    </w:p>
    <w:p w14:paraId="295538C0">
      <w:pPr>
        <w:adjustRightInd w:val="0"/>
        <w:snapToGrid w:val="0"/>
        <w:spacing w:line="360" w:lineRule="auto"/>
        <w:ind w:firstLine="420" w:firstLineChars="200"/>
        <w:rPr>
          <w:rFonts w:ascii="仿宋" w:hAnsi="仿宋" w:eastAsia="仿宋"/>
          <w:szCs w:val="21"/>
        </w:rPr>
      </w:pPr>
      <w:r>
        <w:rPr>
          <w:rFonts w:ascii="仿宋" w:hAnsi="仿宋" w:eastAsia="仿宋"/>
          <w:szCs w:val="21"/>
        </w:rPr>
        <w:t>4.1</w:t>
      </w:r>
      <w:r>
        <w:rPr>
          <w:rFonts w:hint="eastAsia" w:ascii="仿宋" w:hAnsi="仿宋" w:eastAsia="仿宋"/>
          <w:szCs w:val="21"/>
        </w:rPr>
        <w:t>.Ag/AgC1电极帽要求如下：电极被包裹在软橡胶内固定、所有电极标记清晰、导电介质为导电膏、皮输入阻抗≤5K</w:t>
      </w:r>
      <w:r>
        <w:rPr>
          <w:rFonts w:ascii="仿宋" w:hAnsi="仿宋" w:eastAsia="仿宋"/>
          <w:szCs w:val="21"/>
        </w:rPr>
        <w:t>0</w:t>
      </w:r>
      <w:r>
        <w:rPr>
          <w:rFonts w:hint="eastAsia" w:ascii="仿宋" w:hAnsi="仿宋" w:eastAsia="仿宋"/>
          <w:szCs w:val="21"/>
        </w:rPr>
        <w:t>hms。</w:t>
      </w:r>
    </w:p>
    <w:p w14:paraId="28109B31">
      <w:pPr>
        <w:adjustRightInd w:val="0"/>
        <w:snapToGrid w:val="0"/>
        <w:spacing w:line="360" w:lineRule="auto"/>
        <w:ind w:firstLine="420" w:firstLineChars="200"/>
        <w:rPr>
          <w:rFonts w:ascii="仿宋" w:hAnsi="仿宋" w:eastAsia="仿宋"/>
          <w:szCs w:val="21"/>
        </w:rPr>
      </w:pPr>
      <w:r>
        <w:rPr>
          <w:rFonts w:ascii="仿宋" w:hAnsi="仿宋" w:eastAsia="仿宋"/>
          <w:szCs w:val="21"/>
        </w:rPr>
        <w:t>4.2</w:t>
      </w:r>
      <w:r>
        <w:rPr>
          <w:rFonts w:hint="eastAsia" w:ascii="仿宋" w:hAnsi="仿宋" w:eastAsia="仿宋"/>
          <w:szCs w:val="21"/>
        </w:rPr>
        <w:t>.盐水电极帽要求如下：采用海绵电极，可重复使用</w:t>
      </w:r>
      <w:r>
        <w:rPr>
          <w:rFonts w:ascii="仿宋" w:hAnsi="仿宋" w:eastAsia="仿宋"/>
          <w:szCs w:val="21"/>
        </w:rPr>
        <w:t>200次以上，可以支持</w:t>
      </w:r>
      <w:r>
        <w:rPr>
          <w:rFonts w:hint="eastAsia" w:ascii="仿宋" w:hAnsi="仿宋" w:eastAsia="仿宋"/>
          <w:szCs w:val="21"/>
        </w:rPr>
        <w:t>不低于</w:t>
      </w:r>
      <w:r>
        <w:rPr>
          <w:rFonts w:ascii="仿宋" w:hAnsi="仿宋" w:eastAsia="仿宋"/>
          <w:szCs w:val="21"/>
        </w:rPr>
        <w:t>3个小时的脑电采集</w:t>
      </w:r>
      <w:r>
        <w:rPr>
          <w:rFonts w:hint="eastAsia" w:ascii="仿宋" w:hAnsi="仿宋" w:eastAsia="仿宋"/>
          <w:szCs w:val="21"/>
        </w:rPr>
        <w:t>；导电介质为生理盐水，头皮输入阻抗≤</w:t>
      </w:r>
      <w:r>
        <w:rPr>
          <w:rFonts w:ascii="仿宋" w:hAnsi="仿宋" w:eastAsia="仿宋"/>
          <w:szCs w:val="21"/>
        </w:rPr>
        <w:t>10K0hms。</w:t>
      </w:r>
    </w:p>
    <w:p w14:paraId="2975BB76">
      <w:pPr>
        <w:adjustRightInd w:val="0"/>
        <w:snapToGrid w:val="0"/>
        <w:spacing w:line="360" w:lineRule="auto"/>
        <w:rPr>
          <w:rFonts w:ascii="仿宋" w:hAnsi="仿宋" w:eastAsia="仿宋"/>
          <w:b/>
          <w:bCs/>
          <w:szCs w:val="21"/>
        </w:rPr>
      </w:pPr>
      <w:r>
        <w:rPr>
          <w:rFonts w:hint="eastAsia" w:ascii="仿宋" w:hAnsi="仿宋" w:eastAsia="仿宋"/>
          <w:b/>
          <w:bCs/>
          <w:szCs w:val="21"/>
        </w:rPr>
        <w:t>二、表面肌电信号采集分析系统参数（模块二）：</w:t>
      </w:r>
    </w:p>
    <w:p w14:paraId="5E843167">
      <w:pPr>
        <w:adjustRightInd w:val="0"/>
        <w:snapToGrid w:val="0"/>
        <w:spacing w:line="360" w:lineRule="auto"/>
        <w:ind w:left="420" w:leftChars="200"/>
        <w:rPr>
          <w:rFonts w:ascii="仿宋" w:hAnsi="仿宋" w:eastAsia="仿宋"/>
          <w:szCs w:val="21"/>
        </w:rPr>
      </w:pPr>
      <w:r>
        <w:rPr>
          <w:rFonts w:hint="eastAsia" w:ascii="仿宋" w:hAnsi="仿宋" w:eastAsia="仿宋"/>
          <w:szCs w:val="21"/>
        </w:rPr>
        <w:t>1.本系统由数据采集放大器、传感器、数据采集与数据可视化观察分析软件组成。</w:t>
      </w:r>
    </w:p>
    <w:p w14:paraId="55FB254B">
      <w:pPr>
        <w:adjustRightInd w:val="0"/>
        <w:snapToGrid w:val="0"/>
        <w:spacing w:line="360" w:lineRule="auto"/>
        <w:ind w:left="420" w:leftChars="200"/>
        <w:rPr>
          <w:rFonts w:ascii="仿宋" w:hAnsi="仿宋" w:eastAsia="仿宋"/>
          <w:szCs w:val="21"/>
        </w:rPr>
      </w:pPr>
      <w:r>
        <w:rPr>
          <w:rFonts w:hint="eastAsia" w:ascii="仿宋" w:hAnsi="仿宋" w:eastAsia="仿宋"/>
          <w:szCs w:val="21"/>
        </w:rPr>
        <w:t>2.支持同步采集</w:t>
      </w:r>
      <w:r>
        <w:rPr>
          <w:rFonts w:ascii="仿宋" w:hAnsi="仿宋" w:eastAsia="仿宋"/>
          <w:szCs w:val="21"/>
        </w:rPr>
        <w:t>16</w:t>
      </w:r>
      <w:r>
        <w:rPr>
          <w:rFonts w:hint="eastAsia" w:ascii="仿宋" w:hAnsi="仿宋" w:eastAsia="仿宋"/>
          <w:szCs w:val="21"/>
        </w:rPr>
        <w:t>通道EMG肌电数据，并提供</w:t>
      </w:r>
      <w:r>
        <w:rPr>
          <w:rFonts w:ascii="仿宋" w:hAnsi="仿宋" w:eastAsia="仿宋"/>
          <w:szCs w:val="21"/>
        </w:rPr>
        <w:t>16</w:t>
      </w:r>
      <w:r>
        <w:rPr>
          <w:rFonts w:hint="eastAsia" w:ascii="仿宋" w:hAnsi="仿宋" w:eastAsia="仿宋"/>
          <w:szCs w:val="21"/>
        </w:rPr>
        <w:t>个EMG传感器；可以扩展通道数，最高可扩展的通道数不低于24通道。</w:t>
      </w:r>
    </w:p>
    <w:p w14:paraId="24244C95">
      <w:pPr>
        <w:adjustRightInd w:val="0"/>
        <w:snapToGrid w:val="0"/>
        <w:spacing w:line="360" w:lineRule="auto"/>
        <w:ind w:left="420" w:leftChars="200"/>
        <w:rPr>
          <w:rFonts w:ascii="仿宋" w:hAnsi="仿宋" w:eastAsia="仿宋"/>
          <w:szCs w:val="21"/>
        </w:rPr>
      </w:pPr>
      <w:r>
        <w:rPr>
          <w:rFonts w:ascii="仿宋" w:hAnsi="仿宋" w:eastAsia="仿宋"/>
          <w:szCs w:val="21"/>
        </w:rPr>
        <w:t>3</w:t>
      </w:r>
      <w:r>
        <w:rPr>
          <w:rFonts w:hint="eastAsia" w:ascii="仿宋" w:hAnsi="仿宋" w:eastAsia="仿宋"/>
          <w:szCs w:val="21"/>
        </w:rPr>
        <w:t>.开放TCP/IP协议接口，支持第三方刺激呈现软件、支持数据导入Matlab等软件。</w:t>
      </w:r>
    </w:p>
    <w:p w14:paraId="0AE0DE67">
      <w:pPr>
        <w:adjustRightInd w:val="0"/>
        <w:snapToGrid w:val="0"/>
        <w:spacing w:line="360"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.要求放大器采样率≥</w:t>
      </w:r>
      <w:r>
        <w:rPr>
          <w:rFonts w:ascii="仿宋" w:hAnsi="仿宋" w:eastAsia="仿宋"/>
          <w:szCs w:val="21"/>
        </w:rPr>
        <w:t>40</w:t>
      </w:r>
      <w:r>
        <w:rPr>
          <w:rFonts w:hint="eastAsia" w:ascii="仿宋" w:hAnsi="仿宋" w:eastAsia="仿宋"/>
          <w:szCs w:val="21"/>
        </w:rPr>
        <w:t>00Hz，分辨率每通道不低于16bit，通讯方式采用蓝牙或W</w:t>
      </w:r>
      <w:r>
        <w:rPr>
          <w:rFonts w:ascii="仿宋" w:hAnsi="仿宋" w:eastAsia="仿宋"/>
          <w:szCs w:val="21"/>
        </w:rPr>
        <w:t>IFI</w:t>
      </w:r>
      <w:r>
        <w:rPr>
          <w:rFonts w:hint="eastAsia" w:ascii="仿宋" w:hAnsi="仿宋" w:eastAsia="仿宋"/>
          <w:szCs w:val="21"/>
        </w:rPr>
        <w:t>无线连接且连接范围≥10米，满电工作时长≥8小时。</w:t>
      </w:r>
    </w:p>
    <w:p w14:paraId="47929E22">
      <w:pPr>
        <w:adjustRightInd w:val="0"/>
        <w:snapToGrid w:val="0"/>
        <w:spacing w:line="360" w:lineRule="auto"/>
        <w:ind w:firstLine="420" w:firstLineChars="200"/>
        <w:rPr>
          <w:rFonts w:ascii="仿宋" w:hAnsi="仿宋" w:eastAsia="仿宋"/>
          <w:b/>
          <w:szCs w:val="21"/>
        </w:rPr>
      </w:pPr>
      <w:r>
        <w:rPr>
          <w:rFonts w:ascii="仿宋" w:hAnsi="仿宋" w:eastAsia="仿宋"/>
          <w:szCs w:val="21"/>
        </w:rPr>
        <w:t>5</w:t>
      </w:r>
      <w:r>
        <w:rPr>
          <w:rFonts w:hint="eastAsia" w:ascii="仿宋" w:hAnsi="仿宋" w:eastAsia="仿宋"/>
          <w:szCs w:val="21"/>
        </w:rPr>
        <w:t>.要求肌电传感器参数如下：增益为1000，信号范围为±1.5mV，带宽为25</w:t>
      </w:r>
      <w:r>
        <w:rPr>
          <w:rFonts w:ascii="仿宋" w:hAnsi="仿宋" w:eastAsia="仿宋"/>
          <w:szCs w:val="21"/>
        </w:rPr>
        <w:t>~500</w:t>
      </w:r>
      <w:r>
        <w:rPr>
          <w:rFonts w:hint="eastAsia" w:ascii="仿宋" w:hAnsi="仿宋" w:eastAsia="仿宋"/>
          <w:szCs w:val="21"/>
        </w:rPr>
        <w:t>Hz，输入阻抗为＞100G0hm</w:t>
      </w:r>
      <w:r>
        <w:rPr>
          <w:rFonts w:hint="eastAsia" w:ascii="仿宋" w:hAnsi="仿宋" w:eastAsia="仿宋"/>
          <w:b/>
          <w:szCs w:val="21"/>
        </w:rPr>
        <w:t>，</w:t>
      </w:r>
      <w:r>
        <w:rPr>
          <w:rFonts w:ascii="仿宋" w:hAnsi="仿宋" w:eastAsia="仿宋"/>
          <w:szCs w:val="21"/>
        </w:rPr>
        <w:t>CMRR</w:t>
      </w:r>
      <w:r>
        <w:rPr>
          <w:rFonts w:hint="eastAsia" w:ascii="仿宋" w:hAnsi="仿宋" w:eastAsia="仿宋"/>
          <w:szCs w:val="21"/>
        </w:rPr>
        <w:t>为100dB。</w:t>
      </w:r>
    </w:p>
    <w:p w14:paraId="1D43141E">
      <w:pPr>
        <w:adjustRightInd w:val="0"/>
        <w:snapToGrid w:val="0"/>
        <w:spacing w:line="360" w:lineRule="auto"/>
        <w:ind w:left="420" w:leftChars="200"/>
        <w:rPr>
          <w:rFonts w:ascii="仿宋" w:hAnsi="仿宋" w:eastAsia="仿宋"/>
          <w:szCs w:val="21"/>
        </w:rPr>
      </w:pPr>
      <w:r>
        <w:rPr>
          <w:rFonts w:ascii="仿宋" w:hAnsi="仿宋" w:eastAsia="仿宋"/>
          <w:szCs w:val="21"/>
        </w:rPr>
        <w:t>6</w:t>
      </w:r>
      <w:r>
        <w:rPr>
          <w:rFonts w:hint="eastAsia" w:ascii="仿宋" w:hAnsi="仿宋" w:eastAsia="仿宋"/>
          <w:szCs w:val="21"/>
        </w:rPr>
        <w:t>.需具备以下数据可视化分析功能，要求如下，</w:t>
      </w:r>
      <w:r>
        <w:rPr>
          <w:rFonts w:hint="eastAsia" w:ascii="仿宋" w:hAnsi="仿宋" w:eastAsia="仿宋"/>
          <w:b/>
          <w:szCs w:val="21"/>
        </w:rPr>
        <w:t>要求提供技术白皮书</w:t>
      </w:r>
      <w:r>
        <w:rPr>
          <w:rFonts w:hint="eastAsia" w:ascii="仿宋" w:hAnsi="仿宋" w:eastAsia="仿宋"/>
          <w:szCs w:val="21"/>
        </w:rPr>
        <w:t>：</w:t>
      </w:r>
    </w:p>
    <w:p w14:paraId="0CCC087E">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6.1.</w:t>
      </w:r>
      <w:r>
        <w:rPr>
          <w:rFonts w:hint="eastAsia" w:ascii="仿宋" w:hAnsi="仿宋" w:eastAsia="仿宋"/>
          <w:bCs/>
          <w:kern w:val="0"/>
          <w:szCs w:val="21"/>
        </w:rPr>
        <w:t>支持TCP/IP协议接口，LSL接口；支持</w:t>
      </w:r>
      <w:r>
        <w:rPr>
          <w:rFonts w:ascii="仿宋" w:hAnsi="仿宋" w:eastAsia="仿宋"/>
          <w:bCs/>
          <w:szCs w:val="21"/>
        </w:rPr>
        <w:t>WIN操作系统、</w:t>
      </w:r>
      <w:r>
        <w:rPr>
          <w:rFonts w:hint="eastAsia" w:ascii="仿宋" w:hAnsi="仿宋" w:eastAsia="仿宋"/>
          <w:bCs/>
          <w:szCs w:val="21"/>
        </w:rPr>
        <w:t>MacOS</w:t>
      </w:r>
      <w:r>
        <w:rPr>
          <w:rFonts w:ascii="仿宋" w:hAnsi="仿宋" w:eastAsia="仿宋"/>
          <w:bCs/>
          <w:szCs w:val="21"/>
        </w:rPr>
        <w:t>操作系统、Linux操作系统</w:t>
      </w:r>
      <w:r>
        <w:rPr>
          <w:rFonts w:hint="eastAsia" w:ascii="仿宋" w:hAnsi="仿宋" w:eastAsia="仿宋"/>
          <w:bCs/>
          <w:kern w:val="0"/>
          <w:szCs w:val="21"/>
        </w:rPr>
        <w:t>；具备事件标记功能；</w:t>
      </w:r>
    </w:p>
    <w:p w14:paraId="127D4FCE">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6.2.</w:t>
      </w:r>
      <w:r>
        <w:rPr>
          <w:rFonts w:ascii="仿宋" w:hAnsi="仿宋" w:eastAsia="仿宋"/>
          <w:bCs/>
          <w:szCs w:val="21"/>
        </w:rPr>
        <w:t>肌电分析</w:t>
      </w:r>
      <w:r>
        <w:rPr>
          <w:rFonts w:hint="eastAsia" w:ascii="仿宋" w:hAnsi="仿宋" w:eastAsia="仿宋"/>
          <w:bCs/>
          <w:szCs w:val="21"/>
        </w:rPr>
        <w:t>功能</w:t>
      </w:r>
      <w:r>
        <w:rPr>
          <w:rFonts w:ascii="仿宋" w:hAnsi="仿宋" w:eastAsia="仿宋"/>
          <w:bCs/>
          <w:szCs w:val="21"/>
        </w:rPr>
        <w:t>：</w:t>
      </w:r>
      <w:r>
        <w:rPr>
          <w:rFonts w:hint="eastAsia" w:ascii="仿宋" w:hAnsi="仿宋" w:eastAsia="仿宋"/>
          <w:bCs/>
          <w:szCs w:val="21"/>
        </w:rPr>
        <w:t>可计算特定于激活的参数包括：开始和结束时间、延迟、最大振幅、最小振幅、均方根、总振幅、激活段积分；可以实现时间和频谱特征提取、最大自由收缩计算；可实现多通道信号同步融合分析处理；</w:t>
      </w:r>
    </w:p>
    <w:p w14:paraId="74BEFD63">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6.3.肌肉工效负载分析功能：</w:t>
      </w:r>
      <w:r>
        <w:rPr>
          <w:rFonts w:ascii="仿宋" w:hAnsi="仿宋" w:eastAsia="仿宋"/>
          <w:bCs/>
          <w:szCs w:val="21"/>
        </w:rPr>
        <w:t>可分析测量在一段时间或任务中肌肉承受的负荷</w:t>
      </w:r>
      <w:r>
        <w:rPr>
          <w:rFonts w:hint="eastAsia" w:ascii="仿宋" w:hAnsi="仿宋" w:eastAsia="仿宋"/>
          <w:bCs/>
          <w:szCs w:val="21"/>
        </w:rPr>
        <w:t>，</w:t>
      </w:r>
      <w:r>
        <w:rPr>
          <w:rFonts w:ascii="仿宋" w:hAnsi="仿宋" w:eastAsia="仿宋"/>
          <w:bCs/>
          <w:szCs w:val="21"/>
        </w:rPr>
        <w:t>测量肌肉的最大自愿收缩（MVC）</w:t>
      </w:r>
      <w:r>
        <w:rPr>
          <w:rFonts w:hint="eastAsia" w:ascii="仿宋" w:hAnsi="仿宋" w:eastAsia="仿宋"/>
          <w:bCs/>
          <w:szCs w:val="21"/>
        </w:rPr>
        <w:t>、E</w:t>
      </w:r>
      <w:r>
        <w:rPr>
          <w:rFonts w:ascii="仿宋" w:hAnsi="仿宋" w:eastAsia="仿宋"/>
          <w:bCs/>
          <w:szCs w:val="21"/>
        </w:rPr>
        <w:t>MG实时获取状态下根据APDF的变化</w:t>
      </w:r>
      <w:r>
        <w:rPr>
          <w:rFonts w:hint="eastAsia" w:ascii="仿宋" w:hAnsi="仿宋" w:eastAsia="仿宋"/>
          <w:bCs/>
          <w:szCs w:val="21"/>
        </w:rPr>
        <w:t>；内置振幅概率密度函数APDF标准曲线：可分析测量受试者在实验过程中的TIME--MVC的APDF图像、累计MVC％值，并判断测试过程中的肌肉负荷及疲劳程度；</w:t>
      </w:r>
    </w:p>
    <w:p w14:paraId="6EB525D9">
      <w:pPr>
        <w:adjustRightInd w:val="0"/>
        <w:snapToGrid w:val="0"/>
        <w:spacing w:line="360" w:lineRule="auto"/>
        <w:ind w:firstLine="420" w:firstLineChars="200"/>
        <w:rPr>
          <w:rFonts w:ascii="仿宋" w:hAnsi="仿宋" w:eastAsia="仿宋"/>
          <w:bCs/>
          <w:szCs w:val="21"/>
        </w:rPr>
      </w:pPr>
      <w:r>
        <w:rPr>
          <w:rFonts w:hint="eastAsia" w:ascii="仿宋" w:hAnsi="仿宋" w:eastAsia="仿宋"/>
          <w:bCs/>
          <w:szCs w:val="21"/>
        </w:rPr>
        <w:t>6</w:t>
      </w:r>
      <w:r>
        <w:rPr>
          <w:rFonts w:ascii="仿宋" w:hAnsi="仿宋" w:eastAsia="仿宋"/>
          <w:bCs/>
          <w:szCs w:val="21"/>
        </w:rPr>
        <w:t>.</w:t>
      </w:r>
      <w:r>
        <w:rPr>
          <w:rFonts w:hint="eastAsia" w:ascii="仿宋" w:hAnsi="仿宋" w:eastAsia="仿宋"/>
          <w:bCs/>
          <w:szCs w:val="21"/>
        </w:rPr>
        <w:t>4.视频同步模块：支持在生物信号和视频数据中定义一个同步点，以实现两者的同步回放，实现数据与事件匹配。可以为其他第三方数据采集设备提供同步标记参考点；</w:t>
      </w:r>
    </w:p>
    <w:p w14:paraId="663244B1">
      <w:pPr>
        <w:adjustRightInd w:val="0"/>
        <w:snapToGrid w:val="0"/>
        <w:spacing w:line="360" w:lineRule="auto"/>
        <w:ind w:left="420" w:leftChars="200"/>
        <w:rPr>
          <w:rFonts w:ascii="仿宋" w:hAnsi="仿宋" w:eastAsia="仿宋"/>
          <w:kern w:val="0"/>
          <w:szCs w:val="21"/>
        </w:rPr>
      </w:pPr>
      <w:r>
        <w:rPr>
          <w:rFonts w:hint="eastAsia" w:ascii="仿宋" w:hAnsi="仿宋" w:eastAsia="仿宋"/>
          <w:bCs/>
          <w:szCs w:val="21"/>
        </w:rPr>
        <w:t>6.5.</w:t>
      </w:r>
      <w:r>
        <w:rPr>
          <w:rFonts w:ascii="仿宋" w:hAnsi="仿宋" w:eastAsia="仿宋"/>
          <w:bCs/>
          <w:szCs w:val="21"/>
        </w:rPr>
        <w:t>原始数据格式</w:t>
      </w:r>
      <w:r>
        <w:rPr>
          <w:rFonts w:hint="eastAsia" w:ascii="仿宋" w:hAnsi="仿宋" w:eastAsia="仿宋"/>
          <w:bCs/>
          <w:szCs w:val="21"/>
        </w:rPr>
        <w:t>支持</w:t>
      </w:r>
      <w:r>
        <w:rPr>
          <w:rFonts w:ascii="仿宋" w:hAnsi="仿宋" w:eastAsia="仿宋"/>
          <w:bCs/>
          <w:szCs w:val="21"/>
        </w:rPr>
        <w:t>txt</w:t>
      </w:r>
      <w:r>
        <w:rPr>
          <w:rFonts w:hint="eastAsia" w:ascii="仿宋" w:hAnsi="仿宋" w:eastAsia="仿宋"/>
          <w:bCs/>
          <w:szCs w:val="21"/>
        </w:rPr>
        <w:t>、h</w:t>
      </w:r>
      <w:r>
        <w:rPr>
          <w:rFonts w:ascii="仿宋" w:hAnsi="仿宋" w:eastAsia="仿宋"/>
          <w:bCs/>
          <w:szCs w:val="21"/>
        </w:rPr>
        <w:t>5</w:t>
      </w:r>
      <w:r>
        <w:rPr>
          <w:rFonts w:hint="eastAsia" w:ascii="仿宋" w:hAnsi="仿宋" w:eastAsia="仿宋"/>
          <w:bCs/>
          <w:szCs w:val="21"/>
        </w:rPr>
        <w:t>、edf，分析报告支持csv和pdf格式导出。</w:t>
      </w:r>
    </w:p>
    <w:p w14:paraId="285B2E10">
      <w:pPr>
        <w:adjustRightInd w:val="0"/>
        <w:snapToGrid w:val="0"/>
        <w:spacing w:line="360" w:lineRule="auto"/>
        <w:rPr>
          <w:rFonts w:ascii="仿宋" w:hAnsi="仿宋" w:eastAsia="仿宋"/>
          <w:b/>
          <w:bCs/>
          <w:szCs w:val="21"/>
        </w:rPr>
      </w:pPr>
      <w:r>
        <w:rPr>
          <w:rFonts w:hint="eastAsia" w:ascii="仿宋" w:hAnsi="仿宋" w:eastAsia="仿宋"/>
          <w:b/>
          <w:bCs/>
          <w:szCs w:val="21"/>
        </w:rPr>
        <w:t>三、多模态数据同步采集融合平台参数（模块三）</w:t>
      </w:r>
    </w:p>
    <w:p w14:paraId="1049144C">
      <w:pPr>
        <w:adjustRightInd w:val="0"/>
        <w:snapToGrid w:val="0"/>
        <w:spacing w:line="360" w:lineRule="auto"/>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.可以为所有被试者的每一次实验创建工程文件，包括数据存储、调用、查询等管理。</w:t>
      </w:r>
    </w:p>
    <w:p w14:paraId="68AA44E3">
      <w:pPr>
        <w:adjustRightInd w:val="0"/>
        <w:snapToGrid w:val="0"/>
        <w:spacing w:line="360" w:lineRule="auto"/>
        <w:ind w:firstLine="420" w:firstLineChars="200"/>
        <w:rPr>
          <w:rFonts w:ascii="仿宋" w:hAnsi="仿宋" w:eastAsia="仿宋"/>
          <w:szCs w:val="21"/>
        </w:rPr>
      </w:pPr>
      <w:bookmarkStart w:id="7" w:name="OLE_LINK1"/>
      <w:bookmarkStart w:id="8" w:name="OLE_LINK2"/>
      <w:r>
        <w:rPr>
          <w:rFonts w:ascii="仿宋" w:hAnsi="仿宋" w:eastAsia="仿宋"/>
          <w:szCs w:val="21"/>
        </w:rPr>
        <w:t>2</w:t>
      </w:r>
      <w:r>
        <w:rPr>
          <w:rFonts w:hint="eastAsia" w:ascii="仿宋" w:hAnsi="仿宋" w:eastAsia="仿宋"/>
          <w:szCs w:val="21"/>
        </w:rPr>
        <w:t>.</w:t>
      </w:r>
      <w:bookmarkEnd w:id="7"/>
      <w:bookmarkEnd w:id="8"/>
      <w:r>
        <w:rPr>
          <w:rFonts w:hint="eastAsia" w:ascii="仿宋" w:hAnsi="仿宋" w:eastAsia="仿宋"/>
          <w:szCs w:val="21"/>
        </w:rPr>
        <w:t>平台软件需在同一时间坐标系下连续同步采集≥2种生理模态（至少包含EEG、EMG）且无需任何后期手动对齐或离线插值即可实现数据融合，</w:t>
      </w:r>
      <w:r>
        <w:rPr>
          <w:rFonts w:hint="eastAsia" w:ascii="仿宋" w:hAnsi="仿宋" w:eastAsia="仿宋"/>
          <w:b/>
          <w:szCs w:val="21"/>
        </w:rPr>
        <w:t>提供同步采集过程操作界面截图证明（含EEG、EMG通道同时采集的实时波形窗口及时间轴）</w:t>
      </w:r>
      <w:r>
        <w:rPr>
          <w:rFonts w:hint="eastAsia" w:ascii="仿宋" w:hAnsi="仿宋" w:eastAsia="仿宋"/>
          <w:szCs w:val="21"/>
        </w:rPr>
        <w:t>；在典型采样率下，软件输出的EEG通道和EMG通道之间的时间偏移应＜200ms，</w:t>
      </w:r>
      <w:r>
        <w:rPr>
          <w:rFonts w:hint="eastAsia" w:ascii="仿宋" w:hAnsi="仿宋" w:eastAsia="仿宋"/>
          <w:b/>
          <w:szCs w:val="21"/>
        </w:rPr>
        <w:t>提供具有CNAS实验室认可证书的第三方检测机构出具的EEG-EMG同步延迟测试报告或技术白皮书证明材料（报告含①检测依据②测试环境、仪器型号、采样率③延迟统计值④CNAS标志、机构认可编号、查询二维码等）。</w:t>
      </w:r>
    </w:p>
    <w:p w14:paraId="03A922C6">
      <w:pPr>
        <w:adjustRightInd w:val="0"/>
        <w:snapToGrid w:val="0"/>
        <w:spacing w:line="360" w:lineRule="auto"/>
        <w:ind w:firstLine="420" w:firstLineChars="200"/>
        <w:rPr>
          <w:rFonts w:ascii="仿宋" w:hAnsi="仿宋" w:eastAsia="仿宋"/>
          <w:szCs w:val="21"/>
        </w:rPr>
      </w:pPr>
      <w:r>
        <w:rPr>
          <w:rFonts w:ascii="仿宋" w:hAnsi="仿宋" w:eastAsia="仿宋"/>
          <w:szCs w:val="21"/>
        </w:rPr>
        <w:t>3</w:t>
      </w:r>
      <w:r>
        <w:rPr>
          <w:rFonts w:hint="eastAsia" w:ascii="仿宋" w:hAnsi="仿宋" w:eastAsia="仿宋"/>
          <w:szCs w:val="21"/>
        </w:rPr>
        <w:t>.软件自主可控，提供二次开发</w:t>
      </w:r>
      <w:r>
        <w:rPr>
          <w:rFonts w:ascii="仿宋" w:hAnsi="仿宋" w:eastAsia="仿宋"/>
          <w:szCs w:val="21"/>
        </w:rPr>
        <w:t>API文档（覆盖≥80%核心功能，如数据查询、设备控制、用户管理），并附1个可运行的扩展功能Demo（如新增字段并展示）</w:t>
      </w:r>
      <w:r>
        <w:rPr>
          <w:rFonts w:hint="eastAsia" w:ascii="仿宋" w:hAnsi="仿宋" w:eastAsia="仿宋"/>
          <w:szCs w:val="21"/>
        </w:rPr>
        <w:t>。</w:t>
      </w:r>
    </w:p>
    <w:p w14:paraId="0D4FC366">
      <w:pPr>
        <w:adjustRightInd w:val="0"/>
        <w:snapToGrid w:val="0"/>
        <w:spacing w:line="360" w:lineRule="auto"/>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.可定义快捷键，在实验和回放的过程中，即可实现打标签功能。</w:t>
      </w:r>
    </w:p>
    <w:p w14:paraId="1FC046C7">
      <w:pPr>
        <w:adjustRightInd w:val="0"/>
        <w:snapToGrid w:val="0"/>
        <w:spacing w:line="360" w:lineRule="auto"/>
        <w:ind w:firstLine="420" w:firstLineChars="200"/>
        <w:rPr>
          <w:rFonts w:ascii="仿宋" w:hAnsi="仿宋" w:eastAsia="仿宋"/>
          <w:szCs w:val="21"/>
        </w:rPr>
      </w:pPr>
      <w:r>
        <w:rPr>
          <w:rFonts w:ascii="仿宋" w:hAnsi="仿宋" w:eastAsia="仿宋"/>
          <w:szCs w:val="21"/>
        </w:rPr>
        <w:t>5</w:t>
      </w:r>
      <w:r>
        <w:rPr>
          <w:rFonts w:hint="eastAsia" w:ascii="仿宋" w:hAnsi="仿宋" w:eastAsia="仿宋"/>
          <w:szCs w:val="21"/>
        </w:rPr>
        <w:t>.在视频回放区域可进行视频的暂停、快进、快退和拖拽进度条的功能。</w:t>
      </w:r>
    </w:p>
    <w:p w14:paraId="0394CCE8">
      <w:pPr>
        <w:adjustRightInd w:val="0"/>
        <w:snapToGrid w:val="0"/>
        <w:spacing w:line="360" w:lineRule="auto"/>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.同步采集融合平台软件所有界面为简体中文，具备</w:t>
      </w:r>
      <w:r>
        <w:rPr>
          <w:rFonts w:ascii="仿宋" w:hAnsi="仿宋" w:eastAsia="仿宋"/>
          <w:szCs w:val="21"/>
        </w:rPr>
        <w:t>《计算机软件著作权登记证书》</w:t>
      </w:r>
      <w:r>
        <w:rPr>
          <w:rFonts w:hint="eastAsia" w:ascii="仿宋" w:hAnsi="仿宋" w:eastAsia="仿宋"/>
          <w:szCs w:val="21"/>
        </w:rPr>
        <w:t>，</w:t>
      </w:r>
      <w:r>
        <w:rPr>
          <w:rFonts w:hint="eastAsia" w:ascii="仿宋" w:hAnsi="仿宋" w:eastAsia="仿宋"/>
          <w:b/>
          <w:szCs w:val="21"/>
        </w:rPr>
        <w:t>提供系统界面截图及证书复印件。</w:t>
      </w:r>
    </w:p>
    <w:p w14:paraId="39C47445">
      <w:pPr>
        <w:adjustRightInd w:val="0"/>
        <w:snapToGrid w:val="0"/>
        <w:spacing w:line="360" w:lineRule="auto"/>
        <w:ind w:firstLine="420" w:firstLineChars="200"/>
        <w:rPr>
          <w:rFonts w:ascii="仿宋" w:hAnsi="仿宋" w:eastAsia="仿宋"/>
          <w:szCs w:val="21"/>
        </w:rPr>
      </w:pPr>
      <w:r>
        <w:rPr>
          <w:rFonts w:ascii="仿宋" w:hAnsi="仿宋" w:eastAsia="仿宋"/>
          <w:szCs w:val="21"/>
        </w:rPr>
        <w:t>7</w:t>
      </w:r>
      <w:r>
        <w:rPr>
          <w:rFonts w:hint="eastAsia" w:ascii="仿宋" w:hAnsi="仿宋" w:eastAsia="仿宋"/>
          <w:szCs w:val="21"/>
        </w:rPr>
        <w:t>.通过</w:t>
      </w:r>
      <w:r>
        <w:rPr>
          <w:rFonts w:ascii="仿宋" w:hAnsi="仿宋" w:eastAsia="仿宋"/>
          <w:szCs w:val="21"/>
        </w:rPr>
        <w:t>TCP/IP等协议接口，支持第三方刺激呈现软件如E-prime3等。</w:t>
      </w:r>
    </w:p>
    <w:p w14:paraId="10CEEC58">
      <w:pPr>
        <w:adjustRightInd w:val="0"/>
        <w:snapToGrid w:val="0"/>
        <w:spacing w:line="360" w:lineRule="auto"/>
        <w:ind w:firstLine="420" w:firstLineChars="200"/>
        <w:rPr>
          <w:rFonts w:ascii="仿宋" w:hAnsi="仿宋" w:eastAsia="仿宋"/>
          <w:szCs w:val="21"/>
        </w:rPr>
      </w:pPr>
      <w:r>
        <w:rPr>
          <w:rFonts w:ascii="仿宋" w:hAnsi="仿宋" w:eastAsia="仿宋"/>
          <w:szCs w:val="21"/>
        </w:rPr>
        <w:t>8</w:t>
      </w:r>
      <w:r>
        <w:rPr>
          <w:rFonts w:hint="eastAsia" w:ascii="仿宋" w:hAnsi="仿宋" w:eastAsia="仿宋"/>
          <w:szCs w:val="21"/>
        </w:rPr>
        <w:t>.提供肌电分析模块：</w:t>
      </w:r>
    </w:p>
    <w:p w14:paraId="52489E9D">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滤波、陷波处理。</w:t>
      </w:r>
    </w:p>
    <w:p w14:paraId="397F60B7">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时域分析，包括积分肌电、均方根、绝对值积分、过零点数、Willison幅值、平均值、最大最小值、方差、标准差、EMG直方图等。</w:t>
      </w:r>
    </w:p>
    <w:p w14:paraId="28F016F1">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频域分析，傅里叶变换、短时傅里叶变换或者小波变换后得到肌电信号的频谱或时频图，可以提取平均功率频率和中位频率等特征。</w:t>
      </w:r>
    </w:p>
    <w:p w14:paraId="56B9CB33">
      <w:pPr>
        <w:adjustRightInd w:val="0"/>
        <w:snapToGrid w:val="0"/>
        <w:spacing w:line="360" w:lineRule="auto"/>
        <w:ind w:firstLine="420" w:firstLineChars="200"/>
        <w:rPr>
          <w:rFonts w:ascii="仿宋" w:hAnsi="仿宋" w:eastAsia="仿宋"/>
          <w:szCs w:val="21"/>
        </w:rPr>
      </w:pPr>
      <w:r>
        <w:rPr>
          <w:rFonts w:ascii="仿宋" w:hAnsi="仿宋" w:eastAsia="仿宋"/>
          <w:szCs w:val="21"/>
        </w:rPr>
        <w:t>9</w:t>
      </w:r>
      <w:r>
        <w:rPr>
          <w:rFonts w:hint="eastAsia" w:ascii="仿宋" w:hAnsi="仿宋" w:eastAsia="仿宋"/>
          <w:szCs w:val="21"/>
        </w:rPr>
        <w:t>.提供脑电数据分析模块：</w:t>
      </w:r>
    </w:p>
    <w:p w14:paraId="60863F4E">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w:t>
      </w:r>
      <w:r>
        <w:rPr>
          <w:rFonts w:hint="eastAsia" w:ascii="仿宋" w:hAnsi="仿宋" w:eastAsia="仿宋"/>
          <w:szCs w:val="21"/>
        </w:rPr>
        <w:t>可导入多种设备和文件格式，可扩展。</w:t>
      </w:r>
    </w:p>
    <w:p w14:paraId="45ECF457">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支持低通、高通、带通、带阻滤波，提供B</w:t>
      </w:r>
      <w:r>
        <w:rPr>
          <w:rFonts w:ascii="仿宋" w:hAnsi="仿宋" w:eastAsia="仿宋"/>
          <w:szCs w:val="21"/>
        </w:rPr>
        <w:t>utterworth,</w:t>
      </w:r>
      <w:r>
        <w:rPr>
          <w:rFonts w:hint="eastAsia" w:ascii="仿宋" w:hAnsi="仿宋" w:eastAsia="仿宋"/>
          <w:szCs w:val="21"/>
        </w:rPr>
        <w:t xml:space="preserve"> </w:t>
      </w:r>
      <w:r>
        <w:rPr>
          <w:rFonts w:ascii="仿宋" w:hAnsi="仿宋" w:eastAsia="仿宋"/>
          <w:szCs w:val="21"/>
        </w:rPr>
        <w:t>Bessel,</w:t>
      </w:r>
      <w:r>
        <w:rPr>
          <w:rFonts w:hint="eastAsia" w:ascii="仿宋" w:hAnsi="仿宋" w:eastAsia="仿宋"/>
          <w:szCs w:val="21"/>
        </w:rPr>
        <w:t xml:space="preserve"> </w:t>
      </w:r>
      <w:r>
        <w:rPr>
          <w:rFonts w:ascii="仿宋" w:hAnsi="仿宋" w:eastAsia="仿宋"/>
          <w:szCs w:val="21"/>
        </w:rPr>
        <w:t>Chebyshev,</w:t>
      </w:r>
      <w:r>
        <w:rPr>
          <w:rFonts w:hint="eastAsia" w:ascii="仿宋" w:hAnsi="仿宋" w:eastAsia="仿宋"/>
          <w:szCs w:val="21"/>
        </w:rPr>
        <w:t xml:space="preserve"> </w:t>
      </w:r>
      <w:r>
        <w:rPr>
          <w:rFonts w:ascii="仿宋" w:hAnsi="仿宋" w:eastAsia="仿宋"/>
          <w:szCs w:val="21"/>
        </w:rPr>
        <w:t>Elliptic</w:t>
      </w:r>
      <w:r>
        <w:rPr>
          <w:rFonts w:hint="eastAsia" w:ascii="仿宋" w:hAnsi="仿宋" w:eastAsia="仿宋"/>
          <w:szCs w:val="21"/>
        </w:rPr>
        <w:t>等多种滤波方式。</w:t>
      </w:r>
    </w:p>
    <w:p w14:paraId="22A28960">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w:t>
      </w:r>
      <w:r>
        <w:rPr>
          <w:rFonts w:hint="eastAsia" w:ascii="仿宋" w:hAnsi="仿宋" w:eastAsia="仿宋"/>
          <w:szCs w:val="21"/>
        </w:rPr>
        <w:t>支持数据重采样。</w:t>
      </w:r>
    </w:p>
    <w:p w14:paraId="4C74B71A">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w:t>
      </w:r>
      <w:r>
        <w:rPr>
          <w:rFonts w:hint="eastAsia" w:ascii="仿宋" w:hAnsi="仿宋" w:eastAsia="仿宋"/>
          <w:szCs w:val="21"/>
        </w:rPr>
        <w:t>支持独立主成分(</w:t>
      </w:r>
      <w:r>
        <w:rPr>
          <w:rFonts w:ascii="仿宋" w:hAnsi="仿宋" w:eastAsia="仿宋"/>
          <w:szCs w:val="21"/>
        </w:rPr>
        <w:t>ICA)</w:t>
      </w:r>
      <w:r>
        <w:rPr>
          <w:rFonts w:hint="eastAsia" w:ascii="仿宋" w:hAnsi="仿宋" w:eastAsia="仿宋"/>
          <w:szCs w:val="21"/>
        </w:rPr>
        <w:t>去噪，能够可视化交互性测试各独立成分的时序特征、头皮场分布以及对EEG信号的影响。</w:t>
      </w:r>
    </w:p>
    <w:p w14:paraId="23AC1F85">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5)</w:t>
      </w:r>
      <w:r>
        <w:rPr>
          <w:rFonts w:hint="eastAsia" w:ascii="仿宋" w:hAnsi="仿宋" w:eastAsia="仿宋"/>
          <w:szCs w:val="21"/>
        </w:rPr>
        <w:t>可实现频谱、时频分析及可视化，可绘制不同电极或平均的频谱图，支持以对数或线性尺度方式显示频率，支持绘制不同电极位置的频谱特征图。</w:t>
      </w:r>
    </w:p>
    <w:p w14:paraId="7D62B35B">
      <w:pPr>
        <w:adjustRightInd w:val="0"/>
        <w:snapToGrid w:val="0"/>
        <w:spacing w:line="360" w:lineRule="auto"/>
        <w:ind w:firstLine="420" w:firstLineChars="200"/>
        <w:rPr>
          <w:rFonts w:ascii="仿宋" w:hAnsi="仿宋" w:eastAsia="仿宋"/>
          <w:szCs w:val="21"/>
        </w:rPr>
      </w:pPr>
      <w:r>
        <w:rPr>
          <w:rFonts w:ascii="仿宋" w:hAnsi="仿宋" w:eastAsia="仿宋"/>
          <w:szCs w:val="21"/>
        </w:rPr>
        <w:t>(6)</w:t>
      </w:r>
      <w:r>
        <w:rPr>
          <w:rFonts w:hint="eastAsia" w:ascii="仿宋" w:hAnsi="仿宋" w:eastAsia="仿宋"/>
          <w:szCs w:val="21"/>
        </w:rPr>
        <w:t>可以设置常规频率，并支持自定义频率：</w:t>
      </w:r>
      <w:r>
        <w:rPr>
          <w:rFonts w:ascii="仿宋" w:hAnsi="仿宋" w:eastAsia="仿宋"/>
          <w:szCs w:val="21"/>
        </w:rPr>
        <w:t>Delta(1-4Hz)δ波</w:t>
      </w:r>
      <w:r>
        <w:rPr>
          <w:rFonts w:hint="eastAsia" w:ascii="仿宋" w:hAnsi="仿宋" w:eastAsia="仿宋"/>
          <w:szCs w:val="21"/>
        </w:rPr>
        <w:t>、</w:t>
      </w:r>
      <w:r>
        <w:rPr>
          <w:rFonts w:ascii="仿宋" w:hAnsi="仿宋" w:eastAsia="仿宋"/>
          <w:szCs w:val="21"/>
        </w:rPr>
        <w:t>Theta(4-8Hz)θ波</w:t>
      </w:r>
      <w:r>
        <w:rPr>
          <w:rFonts w:hint="eastAsia" w:ascii="仿宋" w:hAnsi="仿宋" w:eastAsia="仿宋"/>
          <w:szCs w:val="21"/>
        </w:rPr>
        <w:t>、</w:t>
      </w:r>
      <w:r>
        <w:rPr>
          <w:rFonts w:ascii="仿宋" w:hAnsi="仿宋" w:eastAsia="仿宋"/>
          <w:szCs w:val="21"/>
        </w:rPr>
        <w:t>Alpha(9-14Hz)α波</w:t>
      </w:r>
      <w:r>
        <w:rPr>
          <w:rFonts w:hint="eastAsia" w:ascii="仿宋" w:hAnsi="仿宋" w:eastAsia="仿宋"/>
          <w:szCs w:val="21"/>
        </w:rPr>
        <w:t>、</w:t>
      </w:r>
      <w:r>
        <w:rPr>
          <w:rFonts w:ascii="仿宋" w:hAnsi="仿宋" w:eastAsia="仿宋"/>
          <w:szCs w:val="21"/>
        </w:rPr>
        <w:t>Beta(14-30Hz)β波</w:t>
      </w:r>
      <w:r>
        <w:rPr>
          <w:rFonts w:hint="eastAsia" w:ascii="仿宋" w:hAnsi="仿宋" w:eastAsia="仿宋"/>
          <w:szCs w:val="21"/>
        </w:rPr>
        <w:t>、</w:t>
      </w:r>
      <w:r>
        <w:rPr>
          <w:rFonts w:ascii="仿宋" w:hAnsi="仿宋" w:eastAsia="仿宋"/>
          <w:szCs w:val="21"/>
        </w:rPr>
        <w:t>Gamma(30-49Hz)</w:t>
      </w:r>
      <w:r>
        <w:rPr>
          <w:rFonts w:hint="eastAsia" w:ascii="仿宋" w:hAnsi="仿宋" w:eastAsia="仿宋"/>
          <w:szCs w:val="21"/>
        </w:rPr>
        <w:t>γ波、</w:t>
      </w:r>
      <w:r>
        <w:rPr>
          <w:rFonts w:ascii="仿宋" w:hAnsi="仿宋" w:eastAsia="仿宋"/>
          <w:szCs w:val="21"/>
        </w:rPr>
        <w:t>Custom</w:t>
      </w:r>
      <w:r>
        <w:rPr>
          <w:rFonts w:hint="eastAsia" w:ascii="仿宋" w:hAnsi="仿宋" w:eastAsia="仿宋"/>
          <w:szCs w:val="21"/>
        </w:rPr>
        <w:t>用户</w:t>
      </w:r>
      <w:r>
        <w:rPr>
          <w:rFonts w:ascii="仿宋" w:hAnsi="仿宋" w:eastAsia="仿宋"/>
          <w:szCs w:val="21"/>
        </w:rPr>
        <w:t>自定义频段</w:t>
      </w:r>
      <w:r>
        <w:rPr>
          <w:rFonts w:hint="eastAsia" w:ascii="仿宋" w:hAnsi="仿宋" w:eastAsia="仿宋"/>
          <w:szCs w:val="21"/>
        </w:rPr>
        <w:t>等。</w:t>
      </w:r>
    </w:p>
    <w:p w14:paraId="6EE21BD7">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7</w:t>
      </w:r>
      <w:r>
        <w:rPr>
          <w:rFonts w:hint="eastAsia" w:ascii="仿宋" w:hAnsi="仿宋" w:eastAsia="仿宋"/>
          <w:szCs w:val="21"/>
        </w:rPr>
        <w:t>)提供</w:t>
      </w:r>
      <w:r>
        <w:rPr>
          <w:rFonts w:ascii="仿宋" w:hAnsi="仿宋" w:eastAsia="仿宋"/>
          <w:szCs w:val="21"/>
        </w:rPr>
        <w:t>GFP全局场功率，</w:t>
      </w:r>
      <w:r>
        <w:rPr>
          <w:rFonts w:hint="eastAsia" w:ascii="仿宋" w:hAnsi="仿宋" w:eastAsia="仿宋"/>
          <w:szCs w:val="21"/>
        </w:rPr>
        <w:t>作为</w:t>
      </w:r>
      <w:r>
        <w:rPr>
          <w:rFonts w:ascii="仿宋" w:hAnsi="仿宋" w:eastAsia="仿宋"/>
          <w:szCs w:val="21"/>
        </w:rPr>
        <w:t>衡量全头皮传感器信号一致性的指标</w:t>
      </w:r>
      <w:r>
        <w:rPr>
          <w:rFonts w:hint="eastAsia" w:ascii="仿宋" w:hAnsi="仿宋" w:eastAsia="仿宋"/>
          <w:szCs w:val="21"/>
        </w:rPr>
        <w:t>，</w:t>
      </w:r>
      <w:r>
        <w:rPr>
          <w:rFonts w:hint="eastAsia" w:ascii="仿宋" w:hAnsi="仿宋" w:eastAsia="仿宋"/>
          <w:b/>
          <w:szCs w:val="21"/>
        </w:rPr>
        <w:t>提供截图证明</w:t>
      </w:r>
      <w:r>
        <w:rPr>
          <w:rFonts w:hint="eastAsia" w:ascii="仿宋" w:hAnsi="仿宋" w:eastAsia="仿宋"/>
          <w:szCs w:val="21"/>
        </w:rPr>
        <w:t>。</w:t>
      </w:r>
    </w:p>
    <w:p w14:paraId="7124D1A3">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8)</w:t>
      </w:r>
      <w:r>
        <w:rPr>
          <w:rFonts w:hint="eastAsia" w:ascii="仿宋" w:hAnsi="仿宋" w:eastAsia="仿宋"/>
          <w:szCs w:val="21"/>
        </w:rPr>
        <w:t>提供非周期性指标提取和分析功能，</w:t>
      </w:r>
      <w:r>
        <w:rPr>
          <w:rFonts w:hint="eastAsia" w:ascii="仿宋" w:hAnsi="仿宋" w:eastAsia="仿宋"/>
          <w:b/>
          <w:szCs w:val="21"/>
        </w:rPr>
        <w:t>提供截图证明</w:t>
      </w:r>
      <w:r>
        <w:rPr>
          <w:rFonts w:hint="eastAsia" w:ascii="仿宋" w:hAnsi="仿宋" w:eastAsia="仿宋"/>
          <w:szCs w:val="21"/>
        </w:rPr>
        <w:t>。</w:t>
      </w:r>
    </w:p>
    <w:p w14:paraId="068DF14E">
      <w:pPr>
        <w:adjustRightInd w:val="0"/>
        <w:snapToGrid w:val="0"/>
        <w:spacing w:line="360" w:lineRule="auto"/>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9)</w:t>
      </w:r>
      <w:r>
        <w:rPr>
          <w:rFonts w:hint="eastAsia" w:ascii="仿宋" w:hAnsi="仿宋" w:eastAsia="仿宋"/>
          <w:szCs w:val="21"/>
        </w:rPr>
        <w:t>支持坏导联标记，坏数据段标记。</w:t>
      </w:r>
    </w:p>
    <w:p w14:paraId="66341589">
      <w:pPr>
        <w:adjustRightInd w:val="0"/>
        <w:snapToGrid w:val="0"/>
        <w:spacing w:line="360" w:lineRule="auto"/>
        <w:ind w:firstLine="420" w:firstLineChars="200"/>
        <w:rPr>
          <w:rFonts w:ascii="仿宋" w:hAnsi="仿宋" w:eastAsia="仿宋"/>
          <w:szCs w:val="21"/>
        </w:rPr>
      </w:pPr>
      <w:r>
        <w:rPr>
          <w:rFonts w:ascii="仿宋" w:hAnsi="仿宋" w:eastAsia="仿宋"/>
          <w:szCs w:val="21"/>
        </w:rPr>
        <w:t>(10)</w:t>
      </w:r>
      <w:r>
        <w:rPr>
          <w:rFonts w:hint="eastAsia" w:ascii="仿宋" w:hAnsi="仿宋" w:eastAsia="仿宋"/>
          <w:szCs w:val="21"/>
        </w:rPr>
        <w:t>提供基于最大、最小幅度的异常信号自动检测和剔除功能。</w:t>
      </w:r>
    </w:p>
    <w:p w14:paraId="2B86B534">
      <w:pPr>
        <w:adjustRightInd w:val="0"/>
        <w:snapToGrid w:val="0"/>
        <w:spacing w:line="360" w:lineRule="auto"/>
        <w:ind w:firstLine="420" w:firstLineChars="200"/>
        <w:rPr>
          <w:rFonts w:ascii="仿宋" w:hAnsi="仿宋" w:eastAsia="仿宋"/>
          <w:szCs w:val="21"/>
        </w:rPr>
      </w:pPr>
      <w:r>
        <w:rPr>
          <w:rFonts w:ascii="仿宋" w:hAnsi="仿宋" w:eastAsia="仿宋"/>
          <w:szCs w:val="21"/>
        </w:rPr>
        <w:t>(11)</w:t>
      </w:r>
      <w:r>
        <w:rPr>
          <w:rFonts w:hint="eastAsia" w:ascii="仿宋" w:hAnsi="仿宋" w:eastAsia="仿宋"/>
          <w:szCs w:val="21"/>
        </w:rPr>
        <w:t>支持事件相关ERP数据和静息态数据。</w:t>
      </w:r>
    </w:p>
    <w:p w14:paraId="77009BBB">
      <w:pPr>
        <w:adjustRightInd w:val="0"/>
        <w:snapToGrid w:val="0"/>
        <w:spacing w:line="360" w:lineRule="auto"/>
        <w:ind w:firstLine="420" w:firstLineChars="200"/>
        <w:rPr>
          <w:rFonts w:ascii="仿宋" w:hAnsi="仿宋" w:eastAsia="仿宋"/>
          <w:szCs w:val="21"/>
        </w:rPr>
      </w:pPr>
      <w:r>
        <w:rPr>
          <w:rFonts w:ascii="仿宋" w:hAnsi="仿宋" w:eastAsia="仿宋"/>
          <w:szCs w:val="21"/>
        </w:rPr>
        <w:t>(12)</w:t>
      </w:r>
      <w:r>
        <w:rPr>
          <w:rFonts w:hint="eastAsia" w:ascii="仿宋" w:hAnsi="仿宋" w:eastAsia="仿宋"/>
          <w:szCs w:val="21"/>
        </w:rPr>
        <w:t>支持按实验条件聚合数据并分析前述指标。</w:t>
      </w:r>
    </w:p>
    <w:p w14:paraId="7AF42AC1">
      <w:pPr>
        <w:adjustRightInd w:val="0"/>
        <w:snapToGrid w:val="0"/>
        <w:spacing w:line="360" w:lineRule="auto"/>
        <w:ind w:firstLine="420" w:firstLineChars="200"/>
        <w:rPr>
          <w:rFonts w:ascii="仿宋" w:hAnsi="仿宋" w:eastAsia="仿宋"/>
          <w:szCs w:val="21"/>
        </w:rPr>
      </w:pPr>
      <w:r>
        <w:rPr>
          <w:rFonts w:ascii="仿宋" w:hAnsi="仿宋" w:eastAsia="仿宋"/>
          <w:szCs w:val="21"/>
        </w:rPr>
        <w:t>(13)</w:t>
      </w:r>
      <w:r>
        <w:rPr>
          <w:rFonts w:hint="eastAsia" w:ascii="仿宋" w:hAnsi="仿宋" w:eastAsia="仿宋"/>
          <w:szCs w:val="21"/>
        </w:rPr>
        <w:t>支持原始数据、分析指标的导出(</w:t>
      </w:r>
      <w:r>
        <w:rPr>
          <w:rFonts w:ascii="仿宋" w:hAnsi="仿宋" w:eastAsia="仿宋"/>
          <w:szCs w:val="21"/>
        </w:rPr>
        <w:t>.csv</w:t>
      </w:r>
      <w:r>
        <w:rPr>
          <w:rFonts w:hint="eastAsia" w:ascii="仿宋" w:hAnsi="仿宋" w:eastAsia="仿宋"/>
          <w:szCs w:val="21"/>
        </w:rPr>
        <w:t>等格式</w:t>
      </w:r>
      <w:r>
        <w:rPr>
          <w:rFonts w:ascii="仿宋" w:hAnsi="仿宋" w:eastAsia="仿宋"/>
          <w:szCs w:val="21"/>
        </w:rPr>
        <w:t>)</w:t>
      </w:r>
      <w:r>
        <w:rPr>
          <w:rFonts w:hint="eastAsia" w:ascii="仿宋" w:hAnsi="仿宋" w:eastAsia="仿宋"/>
          <w:szCs w:val="21"/>
        </w:rPr>
        <w:t>。</w:t>
      </w:r>
    </w:p>
    <w:p w14:paraId="402D20A5">
      <w:pPr>
        <w:adjustRightInd w:val="0"/>
        <w:snapToGrid w:val="0"/>
        <w:spacing w:line="360" w:lineRule="auto"/>
        <w:ind w:firstLine="420" w:firstLineChars="200"/>
        <w:rPr>
          <w:rFonts w:ascii="仿宋" w:hAnsi="仿宋" w:eastAsia="仿宋"/>
          <w:szCs w:val="21"/>
        </w:rPr>
      </w:pPr>
      <w:r>
        <w:rPr>
          <w:rFonts w:ascii="仿宋" w:hAnsi="仿宋" w:eastAsia="仿宋"/>
          <w:szCs w:val="21"/>
        </w:rPr>
        <w:t>(14)</w:t>
      </w:r>
      <w:r>
        <w:rPr>
          <w:rFonts w:hint="eastAsia" w:ascii="仿宋" w:hAnsi="仿宋" w:eastAsia="仿宋"/>
          <w:szCs w:val="21"/>
        </w:rPr>
        <w:t>支持图片导出为矢量图和位图，支持多种格式(.</w:t>
      </w:r>
      <w:r>
        <w:rPr>
          <w:rFonts w:ascii="仿宋" w:hAnsi="仿宋" w:eastAsia="仿宋"/>
          <w:szCs w:val="21"/>
        </w:rPr>
        <w:t>pdf,.svg,.png,.jpg,.tiff)</w:t>
      </w:r>
      <w:r>
        <w:rPr>
          <w:rFonts w:hint="eastAsia" w:ascii="仿宋" w:hAnsi="仿宋" w:eastAsia="仿宋"/>
          <w:szCs w:val="21"/>
        </w:rPr>
        <w:t>，图片像素密度大于等于3</w:t>
      </w:r>
      <w:r>
        <w:rPr>
          <w:rFonts w:ascii="仿宋" w:hAnsi="仿宋" w:eastAsia="仿宋"/>
          <w:szCs w:val="21"/>
        </w:rPr>
        <w:t>00</w:t>
      </w:r>
      <w:r>
        <w:rPr>
          <w:rFonts w:hint="eastAsia" w:ascii="仿宋" w:hAnsi="仿宋" w:eastAsia="仿宋"/>
          <w:szCs w:val="21"/>
        </w:rPr>
        <w:t>dpi，可直接用于高质量印刷出版需求。</w:t>
      </w:r>
    </w:p>
    <w:p w14:paraId="07F32799">
      <w:pPr>
        <w:adjustRightInd w:val="0"/>
        <w:snapToGrid w:val="0"/>
        <w:spacing w:line="360" w:lineRule="auto"/>
        <w:ind w:firstLine="420" w:firstLineChars="200"/>
        <w:rPr>
          <w:rFonts w:ascii="仿宋" w:hAnsi="仿宋" w:eastAsia="仿宋"/>
          <w:b/>
          <w:sz w:val="28"/>
        </w:rPr>
      </w:pPr>
      <w:r>
        <w:rPr>
          <w:rFonts w:ascii="仿宋" w:hAnsi="仿宋" w:eastAsia="仿宋"/>
          <w:szCs w:val="21"/>
        </w:rPr>
        <w:t>(15)</w:t>
      </w:r>
      <w:r>
        <w:rPr>
          <w:rFonts w:hint="eastAsia" w:ascii="仿宋" w:hAnsi="仿宋" w:eastAsia="仿宋"/>
          <w:szCs w:val="21"/>
        </w:rPr>
        <w:t>支持按实验条件提取指标，并支持群体统计分析。</w:t>
      </w:r>
    </w:p>
    <w:p w14:paraId="23C20E14">
      <w:pPr>
        <w:adjustRightInd w:val="0"/>
        <w:snapToGrid w:val="0"/>
        <w:spacing w:after="100" w:afterAutospacing="1"/>
        <w:rPr>
          <w:rFonts w:ascii="仿宋" w:hAnsi="仿宋" w:eastAsia="仿宋"/>
          <w:b/>
        </w:rPr>
      </w:pPr>
      <w:r>
        <w:rPr>
          <w:rFonts w:hint="eastAsia" w:ascii="仿宋" w:hAnsi="仿宋" w:eastAsia="仿宋"/>
          <w:b/>
        </w:rPr>
        <w:t>配置要求：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402"/>
        <w:gridCol w:w="708"/>
        <w:gridCol w:w="3204"/>
      </w:tblGrid>
      <w:tr w14:paraId="41D5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01ED6023">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序号</w:t>
            </w:r>
          </w:p>
        </w:tc>
        <w:tc>
          <w:tcPr>
            <w:tcW w:w="3402" w:type="dxa"/>
            <w:vAlign w:val="center"/>
          </w:tcPr>
          <w:p w14:paraId="52B95D41">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设备名称</w:t>
            </w:r>
          </w:p>
        </w:tc>
        <w:tc>
          <w:tcPr>
            <w:tcW w:w="708" w:type="dxa"/>
            <w:vAlign w:val="center"/>
          </w:tcPr>
          <w:p w14:paraId="608B78BA">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数量</w:t>
            </w:r>
          </w:p>
        </w:tc>
        <w:tc>
          <w:tcPr>
            <w:tcW w:w="3204" w:type="dxa"/>
            <w:vAlign w:val="center"/>
          </w:tcPr>
          <w:p w14:paraId="7C2355EE">
            <w:pPr>
              <w:adjustRightInd w:val="0"/>
              <w:snapToGrid w:val="0"/>
              <w:jc w:val="center"/>
              <w:rPr>
                <w:rFonts w:ascii="仿宋" w:hAnsi="仿宋" w:eastAsia="仿宋"/>
                <w:b/>
                <w:kern w:val="0"/>
                <w:sz w:val="20"/>
                <w:szCs w:val="21"/>
              </w:rPr>
            </w:pPr>
            <w:r>
              <w:rPr>
                <w:rFonts w:hint="eastAsia" w:ascii="仿宋" w:hAnsi="仿宋" w:eastAsia="仿宋"/>
                <w:b/>
                <w:kern w:val="0"/>
                <w:sz w:val="20"/>
                <w:szCs w:val="21"/>
              </w:rPr>
              <w:t>单台套配置</w:t>
            </w:r>
          </w:p>
        </w:tc>
      </w:tr>
      <w:tr w14:paraId="7FED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408E33F0">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402" w:type="dxa"/>
            <w:vAlign w:val="center"/>
          </w:tcPr>
          <w:p w14:paraId="625D1659">
            <w:pPr>
              <w:adjustRightInd w:val="0"/>
              <w:snapToGrid w:val="0"/>
              <w:jc w:val="center"/>
              <w:rPr>
                <w:rFonts w:ascii="仿宋" w:hAnsi="仿宋" w:eastAsia="仿宋"/>
                <w:kern w:val="0"/>
                <w:sz w:val="20"/>
                <w:szCs w:val="21"/>
              </w:rPr>
            </w:pPr>
            <w:r>
              <w:rPr>
                <w:rFonts w:hint="eastAsia" w:ascii="仿宋" w:hAnsi="仿宋" w:eastAsia="仿宋"/>
                <w:kern w:val="0"/>
                <w:sz w:val="20"/>
                <w:szCs w:val="21"/>
              </w:rPr>
              <w:t>EEG/ERP脑电事件相关电位分析系统</w:t>
            </w:r>
          </w:p>
        </w:tc>
        <w:tc>
          <w:tcPr>
            <w:tcW w:w="708" w:type="dxa"/>
            <w:vAlign w:val="center"/>
          </w:tcPr>
          <w:p w14:paraId="70C68577">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204" w:type="dxa"/>
            <w:vAlign w:val="center"/>
          </w:tcPr>
          <w:p w14:paraId="3ED4F3DE">
            <w:pPr>
              <w:adjustRightInd w:val="0"/>
              <w:snapToGrid w:val="0"/>
              <w:jc w:val="center"/>
              <w:rPr>
                <w:rFonts w:ascii="仿宋" w:hAnsi="仿宋" w:eastAsia="仿宋"/>
                <w:kern w:val="0"/>
                <w:sz w:val="20"/>
                <w:szCs w:val="21"/>
              </w:rPr>
            </w:pPr>
            <w:r>
              <w:rPr>
                <w:rFonts w:hint="eastAsia" w:ascii="仿宋" w:hAnsi="仿宋" w:eastAsia="仿宋"/>
                <w:kern w:val="0"/>
                <w:sz w:val="20"/>
                <w:szCs w:val="21"/>
              </w:rPr>
              <w:t>高阻转换器1台、数据采集和分析软件各1套、电刺激软件1套、放大器1套、同步盒1套、电极帽（Ag/AgC1电极帽和盐水电极帽）各2顶、电极帽附件2套、导电膏和磨砂膏各6支</w:t>
            </w:r>
          </w:p>
        </w:tc>
      </w:tr>
      <w:tr w14:paraId="095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47BBA441">
            <w:pPr>
              <w:adjustRightInd w:val="0"/>
              <w:snapToGrid w:val="0"/>
              <w:jc w:val="center"/>
              <w:rPr>
                <w:rFonts w:ascii="仿宋" w:hAnsi="仿宋" w:eastAsia="仿宋"/>
                <w:kern w:val="0"/>
                <w:sz w:val="20"/>
              </w:rPr>
            </w:pPr>
            <w:r>
              <w:rPr>
                <w:rFonts w:hint="eastAsia" w:ascii="仿宋" w:hAnsi="仿宋" w:eastAsia="仿宋"/>
                <w:kern w:val="0"/>
                <w:sz w:val="20"/>
              </w:rPr>
              <w:t>2</w:t>
            </w:r>
          </w:p>
        </w:tc>
        <w:tc>
          <w:tcPr>
            <w:tcW w:w="3402" w:type="dxa"/>
            <w:vAlign w:val="center"/>
          </w:tcPr>
          <w:p w14:paraId="7F65CDC6">
            <w:pPr>
              <w:adjustRightInd w:val="0"/>
              <w:snapToGrid w:val="0"/>
              <w:jc w:val="center"/>
              <w:rPr>
                <w:rFonts w:ascii="仿宋" w:hAnsi="仿宋" w:eastAsia="仿宋"/>
                <w:kern w:val="0"/>
                <w:sz w:val="20"/>
                <w:szCs w:val="21"/>
              </w:rPr>
            </w:pPr>
            <w:r>
              <w:rPr>
                <w:rFonts w:hint="eastAsia" w:ascii="仿宋" w:hAnsi="仿宋" w:eastAsia="仿宋"/>
                <w:kern w:val="0"/>
                <w:sz w:val="20"/>
                <w:szCs w:val="21"/>
              </w:rPr>
              <w:t>表面肌电信号采集分析系统</w:t>
            </w:r>
          </w:p>
        </w:tc>
        <w:tc>
          <w:tcPr>
            <w:tcW w:w="708" w:type="dxa"/>
            <w:vAlign w:val="center"/>
          </w:tcPr>
          <w:p w14:paraId="4BEA6BDC">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204" w:type="dxa"/>
            <w:vAlign w:val="center"/>
          </w:tcPr>
          <w:p w14:paraId="3D85E703">
            <w:pPr>
              <w:adjustRightInd w:val="0"/>
              <w:snapToGrid w:val="0"/>
              <w:jc w:val="center"/>
              <w:rPr>
                <w:rFonts w:ascii="仿宋" w:hAnsi="仿宋" w:eastAsia="仿宋"/>
                <w:kern w:val="0"/>
                <w:sz w:val="20"/>
                <w:szCs w:val="21"/>
              </w:rPr>
            </w:pPr>
            <w:r>
              <w:rPr>
                <w:rFonts w:hint="eastAsia" w:ascii="仿宋" w:hAnsi="仿宋" w:eastAsia="仿宋"/>
                <w:kern w:val="0"/>
                <w:sz w:val="20"/>
              </w:rPr>
              <w:t>1</w:t>
            </w:r>
            <w:r>
              <w:rPr>
                <w:rFonts w:ascii="仿宋" w:hAnsi="仿宋" w:eastAsia="仿宋"/>
                <w:kern w:val="0"/>
                <w:sz w:val="20"/>
              </w:rPr>
              <w:t>6</w:t>
            </w:r>
            <w:r>
              <w:rPr>
                <w:rFonts w:hint="eastAsia" w:ascii="仿宋" w:hAnsi="仿宋" w:eastAsia="仿宋"/>
                <w:kern w:val="0"/>
                <w:sz w:val="20"/>
              </w:rPr>
              <w:t>通道数据采集器1</w:t>
            </w:r>
            <w:r>
              <w:rPr>
                <w:rFonts w:hint="eastAsia" w:ascii="仿宋" w:hAnsi="仿宋" w:eastAsia="仿宋"/>
                <w:kern w:val="0"/>
                <w:sz w:val="20"/>
                <w:szCs w:val="21"/>
              </w:rPr>
              <w:t>个、E</w:t>
            </w:r>
            <w:r>
              <w:rPr>
                <w:rFonts w:ascii="仿宋" w:hAnsi="仿宋" w:eastAsia="仿宋"/>
                <w:kern w:val="0"/>
                <w:sz w:val="20"/>
                <w:szCs w:val="21"/>
              </w:rPr>
              <w:t>M</w:t>
            </w:r>
            <w:r>
              <w:rPr>
                <w:rFonts w:hint="eastAsia" w:ascii="仿宋" w:hAnsi="仿宋" w:eastAsia="仿宋"/>
                <w:kern w:val="0"/>
                <w:sz w:val="20"/>
                <w:szCs w:val="21"/>
              </w:rPr>
              <w:t>G传感器1</w:t>
            </w:r>
            <w:r>
              <w:rPr>
                <w:rFonts w:ascii="仿宋" w:hAnsi="仿宋" w:eastAsia="仿宋"/>
                <w:kern w:val="0"/>
                <w:sz w:val="20"/>
                <w:szCs w:val="21"/>
              </w:rPr>
              <w:t>6</w:t>
            </w:r>
            <w:r>
              <w:rPr>
                <w:rFonts w:hint="eastAsia" w:ascii="仿宋" w:hAnsi="仿宋" w:eastAsia="仿宋"/>
                <w:kern w:val="0"/>
                <w:sz w:val="20"/>
                <w:szCs w:val="21"/>
              </w:rPr>
              <w:t>个、E</w:t>
            </w:r>
            <w:r>
              <w:rPr>
                <w:rFonts w:ascii="仿宋" w:hAnsi="仿宋" w:eastAsia="仿宋"/>
                <w:kern w:val="0"/>
                <w:sz w:val="20"/>
                <w:szCs w:val="21"/>
              </w:rPr>
              <w:t>CG</w:t>
            </w:r>
            <w:r>
              <w:rPr>
                <w:rFonts w:hint="eastAsia" w:ascii="仿宋" w:hAnsi="仿宋" w:eastAsia="仿宋"/>
                <w:kern w:val="0"/>
                <w:sz w:val="20"/>
                <w:szCs w:val="21"/>
              </w:rPr>
              <w:t>和</w:t>
            </w:r>
            <w:r>
              <w:rPr>
                <w:rFonts w:hint="eastAsia" w:ascii="仿宋" w:hAnsi="仿宋" w:eastAsia="仿宋"/>
                <w:kern w:val="0"/>
                <w:sz w:val="20"/>
              </w:rPr>
              <w:t>E</w:t>
            </w:r>
            <w:r>
              <w:rPr>
                <w:rFonts w:ascii="仿宋" w:hAnsi="仿宋" w:eastAsia="仿宋"/>
                <w:kern w:val="0"/>
                <w:sz w:val="20"/>
              </w:rPr>
              <w:t>DA</w:t>
            </w:r>
            <w:r>
              <w:rPr>
                <w:rFonts w:hint="eastAsia" w:ascii="仿宋" w:hAnsi="仿宋" w:eastAsia="仿宋"/>
                <w:kern w:val="0"/>
                <w:sz w:val="20"/>
              </w:rPr>
              <w:t>传感器各1个、呼吸传感器1个、传感器1个、参考电极1个、事件达标器1个、数据采集分析软件1套、蓝牙接收器1个、电极贴片（5</w:t>
            </w:r>
            <w:r>
              <w:rPr>
                <w:rFonts w:ascii="仿宋" w:hAnsi="仿宋" w:eastAsia="仿宋"/>
                <w:kern w:val="0"/>
                <w:sz w:val="20"/>
              </w:rPr>
              <w:t>0</w:t>
            </w:r>
            <w:r>
              <w:rPr>
                <w:rFonts w:hint="eastAsia" w:ascii="仿宋" w:hAnsi="仿宋" w:eastAsia="仿宋"/>
                <w:kern w:val="0"/>
                <w:sz w:val="20"/>
              </w:rPr>
              <w:t>片/包）5</w:t>
            </w:r>
            <w:r>
              <w:rPr>
                <w:rFonts w:ascii="仿宋" w:hAnsi="仿宋" w:eastAsia="仿宋"/>
                <w:kern w:val="0"/>
                <w:sz w:val="20"/>
              </w:rPr>
              <w:t>0</w:t>
            </w:r>
            <w:r>
              <w:rPr>
                <w:rFonts w:hint="eastAsia" w:ascii="仿宋" w:hAnsi="仿宋" w:eastAsia="仿宋"/>
                <w:kern w:val="0"/>
                <w:sz w:val="20"/>
              </w:rPr>
              <w:t>包、仪器箱1个</w:t>
            </w:r>
          </w:p>
        </w:tc>
      </w:tr>
      <w:tr w14:paraId="3264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dxa"/>
            <w:vAlign w:val="center"/>
          </w:tcPr>
          <w:p w14:paraId="36E88E91">
            <w:pPr>
              <w:adjustRightInd w:val="0"/>
              <w:snapToGrid w:val="0"/>
              <w:jc w:val="center"/>
              <w:rPr>
                <w:rFonts w:ascii="仿宋" w:hAnsi="仿宋" w:eastAsia="仿宋"/>
                <w:kern w:val="0"/>
                <w:sz w:val="20"/>
              </w:rPr>
            </w:pPr>
            <w:r>
              <w:rPr>
                <w:rFonts w:hint="eastAsia" w:ascii="仿宋" w:hAnsi="仿宋" w:eastAsia="仿宋"/>
                <w:kern w:val="0"/>
                <w:sz w:val="20"/>
              </w:rPr>
              <w:t>3</w:t>
            </w:r>
          </w:p>
        </w:tc>
        <w:tc>
          <w:tcPr>
            <w:tcW w:w="3402" w:type="dxa"/>
            <w:vAlign w:val="center"/>
          </w:tcPr>
          <w:p w14:paraId="14FB3F59">
            <w:pPr>
              <w:adjustRightInd w:val="0"/>
              <w:snapToGrid w:val="0"/>
              <w:jc w:val="center"/>
              <w:rPr>
                <w:rFonts w:ascii="仿宋" w:hAnsi="仿宋" w:eastAsia="仿宋"/>
                <w:kern w:val="0"/>
                <w:sz w:val="20"/>
              </w:rPr>
            </w:pPr>
            <w:r>
              <w:rPr>
                <w:rFonts w:hint="eastAsia" w:ascii="仿宋" w:hAnsi="仿宋" w:eastAsia="仿宋"/>
                <w:kern w:val="0"/>
                <w:sz w:val="20"/>
              </w:rPr>
              <w:t>多模态数据同步采集融合平台</w:t>
            </w:r>
          </w:p>
        </w:tc>
        <w:tc>
          <w:tcPr>
            <w:tcW w:w="708" w:type="dxa"/>
            <w:vAlign w:val="center"/>
          </w:tcPr>
          <w:p w14:paraId="70ED52C9">
            <w:pPr>
              <w:adjustRightInd w:val="0"/>
              <w:snapToGrid w:val="0"/>
              <w:jc w:val="center"/>
              <w:rPr>
                <w:rFonts w:ascii="仿宋" w:hAnsi="仿宋" w:eastAsia="仿宋"/>
                <w:kern w:val="0"/>
                <w:sz w:val="20"/>
                <w:szCs w:val="21"/>
              </w:rPr>
            </w:pPr>
            <w:r>
              <w:rPr>
                <w:rFonts w:hint="eastAsia" w:ascii="仿宋" w:hAnsi="仿宋" w:eastAsia="仿宋"/>
                <w:kern w:val="0"/>
                <w:sz w:val="20"/>
                <w:szCs w:val="21"/>
              </w:rPr>
              <w:t>1</w:t>
            </w:r>
          </w:p>
        </w:tc>
        <w:tc>
          <w:tcPr>
            <w:tcW w:w="3204" w:type="dxa"/>
            <w:vAlign w:val="center"/>
          </w:tcPr>
          <w:p w14:paraId="6D270797">
            <w:pPr>
              <w:adjustRightInd w:val="0"/>
              <w:snapToGrid w:val="0"/>
              <w:jc w:val="center"/>
              <w:rPr>
                <w:rFonts w:ascii="仿宋" w:hAnsi="仿宋" w:eastAsia="仿宋"/>
                <w:kern w:val="0"/>
                <w:sz w:val="20"/>
                <w:szCs w:val="21"/>
              </w:rPr>
            </w:pPr>
            <w:r>
              <w:rPr>
                <w:rFonts w:hint="eastAsia" w:ascii="仿宋" w:hAnsi="仿宋" w:eastAsia="仿宋"/>
                <w:kern w:val="0"/>
                <w:sz w:val="20"/>
                <w:szCs w:val="21"/>
              </w:rPr>
              <w:t>同步采集软件1套、电脑2套、显示器2台</w:t>
            </w:r>
          </w:p>
        </w:tc>
      </w:tr>
    </w:tbl>
    <w:p w14:paraId="48C8CAA1">
      <w:pPr>
        <w:widowControl/>
        <w:shd w:val="clear" w:color="auto" w:fill="FFFFFF"/>
        <w:spacing w:line="360" w:lineRule="auto"/>
        <w:jc w:val="left"/>
        <w:rPr>
          <w:rFonts w:ascii="仿宋" w:hAnsi="仿宋" w:eastAsia="仿宋"/>
          <w:b/>
          <w:szCs w:val="21"/>
        </w:rPr>
      </w:pPr>
      <w:r>
        <w:rPr>
          <w:rFonts w:hint="eastAsia" w:ascii="仿宋" w:hAnsi="仿宋" w:eastAsia="仿宋"/>
          <w:b/>
          <w:szCs w:val="21"/>
        </w:rPr>
        <w:t>商务要求：</w:t>
      </w:r>
    </w:p>
    <w:p w14:paraId="3192EE9A">
      <w:pPr>
        <w:spacing w:line="360" w:lineRule="auto"/>
        <w:ind w:firstLine="420" w:firstLineChars="200"/>
        <w:rPr>
          <w:rFonts w:eastAsia="仿宋" w:cs="仿宋"/>
          <w:szCs w:val="21"/>
        </w:rPr>
      </w:pPr>
      <w:r>
        <w:rPr>
          <w:rFonts w:hint="eastAsia" w:eastAsia="仿宋" w:cs="仿宋"/>
          <w:szCs w:val="21"/>
        </w:rPr>
        <w:t>交货期：签订合同后30日内。</w:t>
      </w:r>
    </w:p>
    <w:p w14:paraId="7D24E8AA">
      <w:pPr>
        <w:spacing w:line="360" w:lineRule="auto"/>
        <w:ind w:firstLine="420" w:firstLineChars="200"/>
        <w:rPr>
          <w:rFonts w:eastAsia="仿宋" w:cs="仿宋"/>
          <w:szCs w:val="21"/>
        </w:rPr>
      </w:pPr>
      <w:r>
        <w:rPr>
          <w:rFonts w:hint="eastAsia" w:eastAsia="仿宋" w:cs="仿宋"/>
          <w:szCs w:val="21"/>
        </w:rPr>
        <w:t>要求整机硬件设备免费保修</w:t>
      </w:r>
      <w:r>
        <w:rPr>
          <w:rFonts w:eastAsia="仿宋" w:cs="仿宋"/>
          <w:szCs w:val="21"/>
        </w:rPr>
        <w:t>1</w:t>
      </w:r>
      <w:r>
        <w:rPr>
          <w:rFonts w:hint="eastAsia" w:eastAsia="仿宋" w:cs="仿宋"/>
          <w:szCs w:val="21"/>
        </w:rPr>
        <w:t>年起，软件质保期3年，同系列软件终身免费升级。</w:t>
      </w:r>
    </w:p>
    <w:p w14:paraId="7C9F9FC4">
      <w:pPr>
        <w:rPr>
          <w:rFonts w:ascii="仿宋" w:hAnsi="仿宋" w:eastAsia="仿宋"/>
          <w:b/>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F6"/>
    <w:rsid w:val="00021516"/>
    <w:rsid w:val="000B5D92"/>
    <w:rsid w:val="001825F9"/>
    <w:rsid w:val="001C4CCD"/>
    <w:rsid w:val="002248BD"/>
    <w:rsid w:val="00242121"/>
    <w:rsid w:val="002E39FD"/>
    <w:rsid w:val="003208F8"/>
    <w:rsid w:val="00412EF6"/>
    <w:rsid w:val="0042639E"/>
    <w:rsid w:val="004A4CEE"/>
    <w:rsid w:val="004D66A4"/>
    <w:rsid w:val="00516C7C"/>
    <w:rsid w:val="00530D9C"/>
    <w:rsid w:val="00573491"/>
    <w:rsid w:val="005A01C7"/>
    <w:rsid w:val="005C384D"/>
    <w:rsid w:val="00623AF0"/>
    <w:rsid w:val="00685C74"/>
    <w:rsid w:val="006D0CAD"/>
    <w:rsid w:val="006F126E"/>
    <w:rsid w:val="007C4EE5"/>
    <w:rsid w:val="008075BB"/>
    <w:rsid w:val="00830115"/>
    <w:rsid w:val="00837B36"/>
    <w:rsid w:val="00862737"/>
    <w:rsid w:val="008D6514"/>
    <w:rsid w:val="00926CD5"/>
    <w:rsid w:val="00934099"/>
    <w:rsid w:val="00972A21"/>
    <w:rsid w:val="009B40E2"/>
    <w:rsid w:val="009D5EF0"/>
    <w:rsid w:val="00A049BC"/>
    <w:rsid w:val="00A35091"/>
    <w:rsid w:val="00A65BFB"/>
    <w:rsid w:val="00A808EB"/>
    <w:rsid w:val="00A84171"/>
    <w:rsid w:val="00AA42C2"/>
    <w:rsid w:val="00AC778C"/>
    <w:rsid w:val="00B777C8"/>
    <w:rsid w:val="00B85F44"/>
    <w:rsid w:val="00BA2EA9"/>
    <w:rsid w:val="00C239B0"/>
    <w:rsid w:val="00C25568"/>
    <w:rsid w:val="00C52F2C"/>
    <w:rsid w:val="00C56B01"/>
    <w:rsid w:val="00C71234"/>
    <w:rsid w:val="00C71898"/>
    <w:rsid w:val="00CF44A6"/>
    <w:rsid w:val="00D1232E"/>
    <w:rsid w:val="00DA5F52"/>
    <w:rsid w:val="00E53E1F"/>
    <w:rsid w:val="00E8029C"/>
    <w:rsid w:val="00E812D0"/>
    <w:rsid w:val="00EC724E"/>
    <w:rsid w:val="00ED51FA"/>
    <w:rsid w:val="00F473B4"/>
    <w:rsid w:val="426B7F62"/>
    <w:rsid w:val="4860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3801</Words>
  <Characters>4465</Characters>
  <Lines>33</Lines>
  <Paragraphs>9</Paragraphs>
  <TotalTime>1</TotalTime>
  <ScaleCrop>false</ScaleCrop>
  <LinksUpToDate>false</LinksUpToDate>
  <CharactersWithSpaces>4530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2025-11-03T00:48:00Z</dcterms:created>
  <dc:creator>Lenovo</dc:creator>
  <cp:lastModifiedBy>王文义</cp:lastModifiedBy>
  <dcterms:modified xsi:type="dcterms:W3CDTF">2025-11-06T00:58:32Z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eyJoZGlkIjoiZWVhM2M3YTBhNTM1YWVkMjY2MzQxMzUwNTYwMWNlZGIiLCJ1c2VySWQiOiIxNjAyNzQ0ODA4In0=</vt:lpwstr>
  </property>
  <property fmtid="{D5CDD505-2E9C-101B-9397-08002B2CF9AE}" pid="3" name="KSOProductBuildVer">
    <vt:lpwstr>2052-12.1.0.21541</vt:lpwstr>
  </property>
  <property fmtid="{D5CDD505-2E9C-101B-9397-08002B2CF9AE}" pid="4" name="ICV">
    <vt:lpwstr>7608B97A3A5C4E07AD68431F9BCD129F_12</vt:lpwstr>
  </property>
</Properties>
</file>