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1" w:firstLineChars="600"/>
        <w:jc w:val="both"/>
        <w:rPr>
          <w:rFonts w:hint="eastAsia"/>
          <w:b/>
          <w:sz w:val="32"/>
          <w:szCs w:val="32"/>
        </w:rPr>
      </w:pPr>
      <w:r>
        <w:rPr>
          <w:rFonts w:hint="eastAsia"/>
          <w:b/>
          <w:sz w:val="32"/>
          <w:szCs w:val="32"/>
        </w:rPr>
        <w:t>福建中医药大学采购询价工作单</w:t>
      </w:r>
    </w:p>
    <w:p>
      <w:pPr>
        <w:pStyle w:val="2"/>
      </w:pPr>
    </w:p>
    <w:p>
      <w:pPr>
        <w:rPr>
          <w:rFonts w:ascii="宋体" w:hAnsi="宋体"/>
          <w:sz w:val="28"/>
          <w:szCs w:val="28"/>
        </w:rPr>
      </w:pPr>
      <w:r>
        <w:rPr>
          <w:rFonts w:hint="eastAsia" w:ascii="宋体" w:hAnsi="宋体"/>
          <w:sz w:val="28"/>
          <w:szCs w:val="28"/>
        </w:rPr>
        <w:t>公司名称（盖章）：</w:t>
      </w:r>
    </w:p>
    <w:tbl>
      <w:tblPr>
        <w:tblStyle w:val="4"/>
        <w:tblW w:w="820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675"/>
        <w:gridCol w:w="1261"/>
        <w:gridCol w:w="1305"/>
        <w:gridCol w:w="145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59" w:type="dxa"/>
            <w:vAlign w:val="center"/>
          </w:tcPr>
          <w:p>
            <w:pPr>
              <w:jc w:val="center"/>
              <w:rPr>
                <w:rFonts w:ascii="宋体" w:hAnsi="宋体"/>
                <w:sz w:val="24"/>
              </w:rPr>
            </w:pPr>
            <w:r>
              <w:rPr>
                <w:rFonts w:hint="eastAsia" w:ascii="宋体" w:hAnsi="宋体"/>
                <w:sz w:val="24"/>
              </w:rPr>
              <w:t>序号</w:t>
            </w:r>
          </w:p>
        </w:tc>
        <w:tc>
          <w:tcPr>
            <w:tcW w:w="1675" w:type="dxa"/>
            <w:vAlign w:val="center"/>
          </w:tcPr>
          <w:p>
            <w:pPr>
              <w:jc w:val="center"/>
              <w:rPr>
                <w:rFonts w:ascii="宋体" w:hAnsi="宋体"/>
                <w:sz w:val="24"/>
              </w:rPr>
            </w:pPr>
            <w:r>
              <w:rPr>
                <w:rFonts w:hint="eastAsia" w:ascii="宋体" w:hAnsi="宋体"/>
                <w:sz w:val="24"/>
              </w:rPr>
              <w:t>服务名称</w:t>
            </w:r>
          </w:p>
        </w:tc>
        <w:tc>
          <w:tcPr>
            <w:tcW w:w="1261" w:type="dxa"/>
            <w:vAlign w:val="center"/>
          </w:tcPr>
          <w:p>
            <w:pPr>
              <w:jc w:val="center"/>
              <w:rPr>
                <w:rFonts w:ascii="宋体" w:hAnsi="宋体"/>
                <w:sz w:val="24"/>
              </w:rPr>
            </w:pPr>
            <w:r>
              <w:rPr>
                <w:rFonts w:hint="eastAsia" w:ascii="宋体" w:hAnsi="宋体"/>
                <w:sz w:val="24"/>
              </w:rPr>
              <w:t>参考型号</w:t>
            </w:r>
          </w:p>
        </w:tc>
        <w:tc>
          <w:tcPr>
            <w:tcW w:w="1305" w:type="dxa"/>
            <w:vAlign w:val="center"/>
          </w:tcPr>
          <w:p>
            <w:pPr>
              <w:jc w:val="center"/>
              <w:rPr>
                <w:rFonts w:ascii="宋体" w:hAnsi="宋体"/>
                <w:sz w:val="24"/>
              </w:rPr>
            </w:pPr>
            <w:r>
              <w:rPr>
                <w:rFonts w:hint="eastAsia" w:ascii="宋体" w:hAnsi="宋体"/>
                <w:sz w:val="24"/>
              </w:rPr>
              <w:t>数量</w:t>
            </w:r>
          </w:p>
        </w:tc>
        <w:tc>
          <w:tcPr>
            <w:tcW w:w="1455" w:type="dxa"/>
            <w:vAlign w:val="center"/>
          </w:tcPr>
          <w:p>
            <w:pPr>
              <w:jc w:val="center"/>
              <w:rPr>
                <w:rFonts w:ascii="宋体" w:hAnsi="宋体"/>
                <w:sz w:val="24"/>
              </w:rPr>
            </w:pPr>
            <w:r>
              <w:rPr>
                <w:rFonts w:hint="eastAsia" w:ascii="宋体" w:hAnsi="宋体"/>
                <w:sz w:val="24"/>
              </w:rPr>
              <w:t>价格</w:t>
            </w:r>
          </w:p>
          <w:p>
            <w:pPr>
              <w:jc w:val="center"/>
              <w:rPr>
                <w:rFonts w:ascii="宋体" w:hAnsi="宋体"/>
                <w:sz w:val="24"/>
              </w:rPr>
            </w:pPr>
            <w:r>
              <w:rPr>
                <w:rFonts w:hint="eastAsia" w:ascii="宋体" w:hAnsi="宋体"/>
                <w:sz w:val="24"/>
              </w:rPr>
              <w:t>（万元）</w:t>
            </w:r>
          </w:p>
        </w:tc>
        <w:tc>
          <w:tcPr>
            <w:tcW w:w="1650" w:type="dxa"/>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59" w:type="dxa"/>
            <w:shd w:val="clear" w:color="auto" w:fill="auto"/>
            <w:vAlign w:val="center"/>
          </w:tcPr>
          <w:p>
            <w:pPr>
              <w:jc w:val="center"/>
              <w:rPr>
                <w:rFonts w:ascii="宋体" w:hAnsi="宋体"/>
                <w:szCs w:val="21"/>
              </w:rPr>
            </w:pPr>
            <w:r>
              <w:rPr>
                <w:rFonts w:hint="eastAsia" w:ascii="宋体" w:hAnsi="宋体"/>
                <w:szCs w:val="21"/>
              </w:rPr>
              <w:t>1</w:t>
            </w:r>
          </w:p>
        </w:tc>
        <w:tc>
          <w:tcPr>
            <w:tcW w:w="1675" w:type="dxa"/>
            <w:shd w:val="clear" w:color="FFFF00" w:fill="auto"/>
            <w:vAlign w:val="center"/>
          </w:tcPr>
          <w:p>
            <w:pPr>
              <w:jc w:val="center"/>
              <w:rPr>
                <w:rFonts w:ascii="宋体" w:hAnsi="宋体"/>
              </w:rPr>
            </w:pPr>
          </w:p>
        </w:tc>
        <w:tc>
          <w:tcPr>
            <w:tcW w:w="1261" w:type="dxa"/>
            <w:shd w:val="clear" w:color="FFFF00" w:fill="auto"/>
            <w:vAlign w:val="center"/>
          </w:tcPr>
          <w:p>
            <w:pPr>
              <w:autoSpaceDN w:val="0"/>
              <w:jc w:val="center"/>
              <w:textAlignment w:val="center"/>
              <w:rPr>
                <w:rFonts w:ascii="宋体" w:hAnsi="宋体"/>
                <w:sz w:val="24"/>
              </w:rPr>
            </w:pPr>
          </w:p>
        </w:tc>
        <w:tc>
          <w:tcPr>
            <w:tcW w:w="1305" w:type="dxa"/>
            <w:shd w:val="clear" w:color="FFFF00" w:fill="auto"/>
            <w:vAlign w:val="center"/>
          </w:tcPr>
          <w:p>
            <w:pPr>
              <w:jc w:val="center"/>
              <w:rPr>
                <w:rFonts w:ascii="宋体" w:hAnsi="宋体"/>
                <w:szCs w:val="21"/>
              </w:rPr>
            </w:pPr>
          </w:p>
        </w:tc>
        <w:tc>
          <w:tcPr>
            <w:tcW w:w="1455" w:type="dxa"/>
            <w:vAlign w:val="center"/>
          </w:tcPr>
          <w:p>
            <w:pPr>
              <w:jc w:val="center"/>
              <w:rPr>
                <w:rFonts w:ascii="宋体" w:hAnsi="宋体"/>
                <w:sz w:val="24"/>
              </w:rPr>
            </w:pPr>
          </w:p>
        </w:tc>
        <w:tc>
          <w:tcPr>
            <w:tcW w:w="1650" w:type="dxa"/>
            <w:vAlign w:val="center"/>
          </w:tcPr>
          <w:p>
            <w:pPr>
              <w:jc w:val="center"/>
              <w:rPr>
                <w:rFonts w:ascii="宋体" w:hAnsi="宋体"/>
                <w:sz w:val="24"/>
              </w:rPr>
            </w:pPr>
            <w:r>
              <w:rPr>
                <w:rFonts w:hint="eastAsia" w:ascii="宋体" w:hAnsi="宋体"/>
                <w:sz w:val="24"/>
              </w:rPr>
              <w:t>功能需求详见附件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59" w:type="dxa"/>
            <w:shd w:val="clear" w:color="auto" w:fill="auto"/>
            <w:vAlign w:val="center"/>
          </w:tcPr>
          <w:p>
            <w:pPr>
              <w:jc w:val="center"/>
              <w:rPr>
                <w:rFonts w:ascii="宋体" w:hAnsi="宋体"/>
                <w:szCs w:val="21"/>
              </w:rPr>
            </w:pPr>
            <w:r>
              <w:rPr>
                <w:rFonts w:hint="eastAsia" w:ascii="宋体" w:hAnsi="宋体"/>
                <w:szCs w:val="21"/>
              </w:rPr>
              <w:t>2</w:t>
            </w:r>
          </w:p>
        </w:tc>
        <w:tc>
          <w:tcPr>
            <w:tcW w:w="1675" w:type="dxa"/>
            <w:shd w:val="clear" w:color="FFFF00" w:fill="auto"/>
            <w:vAlign w:val="center"/>
          </w:tcPr>
          <w:p>
            <w:pPr>
              <w:jc w:val="center"/>
              <w:rPr>
                <w:rFonts w:ascii="宋体" w:hAnsi="宋体"/>
              </w:rPr>
            </w:pPr>
          </w:p>
        </w:tc>
        <w:tc>
          <w:tcPr>
            <w:tcW w:w="1261" w:type="dxa"/>
            <w:shd w:val="clear" w:color="FFFF00" w:fill="auto"/>
            <w:vAlign w:val="center"/>
          </w:tcPr>
          <w:p>
            <w:pPr>
              <w:autoSpaceDN w:val="0"/>
              <w:jc w:val="center"/>
              <w:textAlignment w:val="center"/>
              <w:rPr>
                <w:rFonts w:ascii="宋体" w:hAnsi="宋体"/>
                <w:sz w:val="24"/>
              </w:rPr>
            </w:pPr>
          </w:p>
        </w:tc>
        <w:tc>
          <w:tcPr>
            <w:tcW w:w="1305" w:type="dxa"/>
            <w:shd w:val="clear" w:color="FFFF00" w:fill="auto"/>
            <w:vAlign w:val="center"/>
          </w:tcPr>
          <w:p>
            <w:pPr>
              <w:jc w:val="center"/>
              <w:rPr>
                <w:rFonts w:ascii="宋体" w:hAnsi="宋体"/>
                <w:szCs w:val="21"/>
              </w:rPr>
            </w:pPr>
          </w:p>
        </w:tc>
        <w:tc>
          <w:tcPr>
            <w:tcW w:w="1455" w:type="dxa"/>
            <w:vAlign w:val="center"/>
          </w:tcPr>
          <w:p>
            <w:pPr>
              <w:jc w:val="center"/>
              <w:rPr>
                <w:rFonts w:ascii="宋体" w:hAnsi="宋体"/>
                <w:sz w:val="24"/>
              </w:rPr>
            </w:pPr>
          </w:p>
        </w:tc>
        <w:tc>
          <w:tcPr>
            <w:tcW w:w="1650" w:type="dxa"/>
            <w:vAlign w:val="center"/>
          </w:tcPr>
          <w:p>
            <w:pPr>
              <w:jc w:val="center"/>
              <w:rPr>
                <w:rFonts w:ascii="宋体" w:hAnsi="宋体"/>
                <w:sz w:val="24"/>
              </w:rPr>
            </w:pPr>
            <w:r>
              <w:rPr>
                <w:rFonts w:hint="eastAsia" w:ascii="宋体" w:hAnsi="宋体"/>
                <w:sz w:val="24"/>
              </w:rPr>
              <w:t>功能需求详见附件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100" w:type="dxa"/>
            <w:gridSpan w:val="4"/>
            <w:vAlign w:val="center"/>
          </w:tcPr>
          <w:p>
            <w:pPr>
              <w:jc w:val="center"/>
              <w:rPr>
                <w:rFonts w:ascii="宋体" w:hAnsi="宋体"/>
                <w:sz w:val="24"/>
              </w:rPr>
            </w:pPr>
            <w:r>
              <w:rPr>
                <w:rFonts w:hint="eastAsia" w:ascii="宋体" w:hAnsi="宋体"/>
                <w:sz w:val="24"/>
              </w:rPr>
              <w:t>合  计</w:t>
            </w:r>
          </w:p>
        </w:tc>
        <w:tc>
          <w:tcPr>
            <w:tcW w:w="1455" w:type="dxa"/>
            <w:vAlign w:val="center"/>
          </w:tcPr>
          <w:p>
            <w:pPr>
              <w:jc w:val="center"/>
              <w:rPr>
                <w:rFonts w:ascii="宋体" w:hAnsi="宋体"/>
                <w:sz w:val="24"/>
              </w:rPr>
            </w:pPr>
          </w:p>
        </w:tc>
        <w:tc>
          <w:tcPr>
            <w:tcW w:w="1650" w:type="dxa"/>
            <w:vAlign w:val="center"/>
          </w:tcPr>
          <w:p>
            <w:pPr>
              <w:jc w:val="center"/>
              <w:rPr>
                <w:rFonts w:ascii="宋体" w:hAnsi="宋体"/>
                <w:sz w:val="24"/>
              </w:rPr>
            </w:pPr>
          </w:p>
        </w:tc>
      </w:tr>
    </w:tbl>
    <w:p>
      <w:pPr>
        <w:rPr>
          <w:rFonts w:ascii="宋体" w:hAnsi="宋体"/>
          <w:sz w:val="28"/>
          <w:szCs w:val="28"/>
        </w:rPr>
      </w:pPr>
      <w:r>
        <w:rPr>
          <w:rFonts w:hint="eastAsia" w:ascii="宋体" w:hAnsi="宋体"/>
          <w:sz w:val="28"/>
          <w:szCs w:val="28"/>
        </w:rPr>
        <w:t xml:space="preserve">  联系人：                               联系电话：</w:t>
      </w:r>
    </w:p>
    <w:p>
      <w:pPr>
        <w:spacing w:line="600" w:lineRule="auto"/>
        <w:jc w:val="center"/>
        <w:rPr>
          <w:rFonts w:hint="eastAsia"/>
          <w:b/>
          <w:bCs/>
          <w:sz w:val="36"/>
          <w:szCs w:val="36"/>
          <w:lang w:eastAsia="zh-Hans"/>
        </w:rPr>
      </w:pPr>
    </w:p>
    <w:p>
      <w:pPr>
        <w:jc w:val="center"/>
        <w:rPr>
          <w:rFonts w:hint="eastAsia" w:ascii="隶书" w:eastAsia="隶书"/>
          <w:sz w:val="36"/>
          <w:szCs w:val="32"/>
        </w:rPr>
      </w:pPr>
      <w:r>
        <w:rPr>
          <w:rFonts w:hint="eastAsia" w:ascii="隶书" w:eastAsia="隶书"/>
          <w:sz w:val="36"/>
          <w:szCs w:val="32"/>
        </w:rPr>
        <w:t>技术规格偏离表</w:t>
      </w:r>
    </w:p>
    <w:p>
      <w:pPr>
        <w:jc w:val="both"/>
        <w:rPr>
          <w:rFonts w:ascii="仿宋_GB2312" w:hAnsi="宋体" w:eastAsia="仿宋_GB2312"/>
          <w:sz w:val="24"/>
        </w:rPr>
      </w:pPr>
      <w:r>
        <w:rPr>
          <w:rFonts w:hint="eastAsia" w:ascii="仿宋_GB2312" w:hAnsi="宋体" w:eastAsia="仿宋_GB2312"/>
          <w:sz w:val="24"/>
        </w:rPr>
        <w:t>报价方名称（全称）：</w:t>
      </w:r>
    </w:p>
    <w:tbl>
      <w:tblPr>
        <w:tblStyle w:val="4"/>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875"/>
        <w:gridCol w:w="2370"/>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81"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序号</w:t>
            </w:r>
          </w:p>
        </w:tc>
        <w:tc>
          <w:tcPr>
            <w:tcW w:w="1875"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技 术 要 求</w:t>
            </w:r>
          </w:p>
        </w:tc>
        <w:tc>
          <w:tcPr>
            <w:tcW w:w="2370"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 xml:space="preserve"> 响 应 情 况</w:t>
            </w:r>
          </w:p>
        </w:tc>
        <w:tc>
          <w:tcPr>
            <w:tcW w:w="3319" w:type="dxa"/>
            <w:vAlign w:val="center"/>
          </w:tcPr>
          <w:p>
            <w:pPr>
              <w:tabs>
                <w:tab w:val="left" w:pos="5355"/>
              </w:tabs>
              <w:spacing w:line="240" w:lineRule="exact"/>
              <w:ind w:right="-17" w:rightChars="-7"/>
              <w:jc w:val="center"/>
              <w:rPr>
                <w:rFonts w:ascii="宋体" w:hAnsi="宋体"/>
                <w:spacing w:val="-10"/>
              </w:rPr>
            </w:pPr>
            <w:r>
              <w:rPr>
                <w:rFonts w:hint="eastAsia" w:ascii="宋体" w:hAnsi="宋体"/>
                <w:spacing w:val="-10"/>
              </w:rPr>
              <w:t>偏 离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r>
              <w:rPr>
                <w:rFonts w:hint="eastAsia" w:ascii="仿宋_GB2312" w:hAnsi="宋体" w:eastAsia="仿宋_GB2312"/>
                <w:sz w:val="18"/>
              </w:rPr>
              <w:t>1</w:t>
            </w:r>
          </w:p>
        </w:tc>
        <w:tc>
          <w:tcPr>
            <w:tcW w:w="1875" w:type="dxa"/>
            <w:vAlign w:val="center"/>
          </w:tcPr>
          <w:p>
            <w:pPr>
              <w:jc w:val="center"/>
              <w:rPr>
                <w:rFonts w:ascii="仿宋_GB2312" w:hAnsi="宋体" w:eastAsia="仿宋_GB2312"/>
                <w:sz w:val="18"/>
                <w:u w:val="single"/>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r>
              <w:rPr>
                <w:rFonts w:hint="eastAsia" w:ascii="仿宋_GB2312" w:hAnsi="宋体" w:eastAsia="仿宋_GB2312"/>
                <w:sz w:val="18"/>
              </w:rPr>
              <w:t>2</w:t>
            </w:r>
          </w:p>
        </w:tc>
        <w:tc>
          <w:tcPr>
            <w:tcW w:w="1875" w:type="dxa"/>
            <w:vAlign w:val="center"/>
          </w:tcPr>
          <w:p>
            <w:pPr>
              <w:jc w:val="center"/>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81" w:type="dxa"/>
            <w:vAlign w:val="center"/>
          </w:tcPr>
          <w:p>
            <w:pPr>
              <w:tabs>
                <w:tab w:val="left" w:pos="5355"/>
              </w:tabs>
              <w:jc w:val="center"/>
              <w:rPr>
                <w:rFonts w:ascii="仿宋_GB2312" w:hAnsi="宋体" w:eastAsia="仿宋_GB2312"/>
                <w:sz w:val="18"/>
              </w:rPr>
            </w:pPr>
          </w:p>
        </w:tc>
        <w:tc>
          <w:tcPr>
            <w:tcW w:w="1875" w:type="dxa"/>
            <w:vAlign w:val="center"/>
          </w:tcPr>
          <w:p>
            <w:pPr>
              <w:tabs>
                <w:tab w:val="left" w:pos="5355"/>
              </w:tabs>
              <w:rPr>
                <w:rFonts w:ascii="仿宋_GB2312" w:hAnsi="宋体" w:eastAsia="仿宋_GB2312"/>
                <w:sz w:val="18"/>
              </w:rPr>
            </w:pPr>
          </w:p>
        </w:tc>
        <w:tc>
          <w:tcPr>
            <w:tcW w:w="2370" w:type="dxa"/>
            <w:vAlign w:val="center"/>
          </w:tcPr>
          <w:p>
            <w:pPr>
              <w:tabs>
                <w:tab w:val="left" w:pos="5355"/>
              </w:tabs>
              <w:rPr>
                <w:rFonts w:ascii="仿宋_GB2312" w:hAnsi="宋体" w:eastAsia="仿宋_GB2312"/>
                <w:sz w:val="18"/>
              </w:rPr>
            </w:pPr>
          </w:p>
        </w:tc>
        <w:tc>
          <w:tcPr>
            <w:tcW w:w="3319" w:type="dxa"/>
            <w:vAlign w:val="center"/>
          </w:tcPr>
          <w:p>
            <w:pPr>
              <w:tabs>
                <w:tab w:val="left" w:pos="5355"/>
              </w:tabs>
              <w:rPr>
                <w:rFonts w:ascii="仿宋_GB2312" w:hAnsi="宋体" w:eastAsia="仿宋_GB2312"/>
                <w:sz w:val="18"/>
              </w:rPr>
            </w:pPr>
          </w:p>
        </w:tc>
      </w:tr>
    </w:tbl>
    <w:p>
      <w:pPr>
        <w:widowControl/>
        <w:spacing w:before="75" w:after="75"/>
        <w:jc w:val="center"/>
        <w:rPr>
          <w:rFonts w:hint="eastAsia" w:ascii="宋体" w:hAnsi="宋体" w:eastAsia="宋体" w:cs="宋体"/>
          <w:b/>
          <w:bCs/>
          <w:color w:val="393939"/>
          <w:kern w:val="0"/>
          <w:sz w:val="44"/>
          <w:szCs w:val="44"/>
          <w:shd w:val="clear" w:color="auto" w:fill="FFFFFF"/>
        </w:rPr>
      </w:pPr>
    </w:p>
    <w:p>
      <w:pPr>
        <w:widowControl/>
        <w:spacing w:before="75" w:after="75"/>
        <w:jc w:val="center"/>
        <w:rPr>
          <w:rFonts w:hint="eastAsia" w:ascii="宋体" w:hAnsi="宋体" w:eastAsia="宋体" w:cs="宋体"/>
          <w:b/>
          <w:bCs/>
          <w:color w:val="393939"/>
          <w:kern w:val="0"/>
          <w:sz w:val="44"/>
          <w:szCs w:val="44"/>
          <w:shd w:val="clear" w:color="auto" w:fill="FFFFFF"/>
        </w:rPr>
      </w:pPr>
    </w:p>
    <w:p>
      <w:pPr>
        <w:widowControl/>
        <w:spacing w:before="75" w:after="75"/>
        <w:jc w:val="center"/>
        <w:rPr>
          <w:rFonts w:hint="eastAsia" w:ascii="宋体" w:hAnsi="宋体" w:eastAsia="宋体" w:cs="宋体"/>
          <w:b/>
          <w:bCs/>
          <w:color w:val="393939"/>
          <w:kern w:val="0"/>
          <w:sz w:val="44"/>
          <w:szCs w:val="44"/>
          <w:shd w:val="clear" w:color="auto" w:fill="FFFFFF"/>
        </w:rPr>
      </w:pPr>
    </w:p>
    <w:p>
      <w:pPr>
        <w:widowControl/>
        <w:spacing w:before="75" w:after="75"/>
        <w:jc w:val="center"/>
        <w:rPr>
          <w:rFonts w:hint="default" w:ascii="宋体" w:hAnsi="宋体" w:eastAsia="宋体" w:cs="宋体"/>
          <w:b/>
          <w:bCs/>
          <w:kern w:val="0"/>
          <w:sz w:val="36"/>
          <w:szCs w:val="36"/>
          <w:lang w:val="en-US" w:eastAsia="zh-CN"/>
        </w:rPr>
      </w:pPr>
      <w:r>
        <w:rPr>
          <w:rFonts w:hint="eastAsia" w:ascii="宋体" w:hAnsi="宋体" w:eastAsia="宋体" w:cs="宋体"/>
          <w:b/>
          <w:bCs/>
          <w:color w:val="393939"/>
          <w:kern w:val="0"/>
          <w:sz w:val="36"/>
          <w:szCs w:val="36"/>
          <w:shd w:val="clear" w:color="auto" w:fill="FFFFFF"/>
        </w:rPr>
        <w:t>福建中医药大学</w:t>
      </w:r>
      <w:r>
        <w:rPr>
          <w:rFonts w:ascii="宋体" w:hAnsi="宋体" w:eastAsia="宋体" w:cs="宋体"/>
          <w:b/>
          <w:bCs/>
          <w:color w:val="393939"/>
          <w:kern w:val="0"/>
          <w:sz w:val="36"/>
          <w:szCs w:val="36"/>
          <w:shd w:val="clear" w:color="auto" w:fill="FFFFFF"/>
        </w:rPr>
        <w:t>中医学院专业学位研究生首批在线示范课程建设服务采购</w:t>
      </w:r>
      <w:r>
        <w:rPr>
          <w:rFonts w:hint="eastAsia" w:ascii="宋体" w:hAnsi="宋体" w:eastAsia="宋体" w:cs="宋体"/>
          <w:b/>
          <w:bCs/>
          <w:color w:val="393939"/>
          <w:kern w:val="0"/>
          <w:sz w:val="36"/>
          <w:szCs w:val="36"/>
          <w:shd w:val="clear" w:color="auto" w:fill="FFFFFF"/>
        </w:rPr>
        <w:t>项目</w:t>
      </w:r>
      <w:r>
        <w:rPr>
          <w:rFonts w:hint="eastAsia" w:ascii="宋体" w:hAnsi="宋体" w:eastAsia="宋体" w:cs="宋体"/>
          <w:b/>
          <w:bCs/>
          <w:color w:val="393939"/>
          <w:kern w:val="0"/>
          <w:sz w:val="36"/>
          <w:szCs w:val="36"/>
          <w:shd w:val="clear" w:color="auto" w:fill="FFFFFF"/>
          <w:lang w:val="en-US" w:eastAsia="zh-CN"/>
        </w:rPr>
        <w:t>技术参数</w:t>
      </w:r>
    </w:p>
    <w:p>
      <w:pPr>
        <w:widowControl/>
        <w:spacing w:line="555" w:lineRule="atLeast"/>
        <w:rPr>
          <w:rFonts w:ascii="宋体" w:hAnsi="宋体" w:eastAsia="宋体" w:cs="宋体"/>
          <w:kern w:val="0"/>
        </w:rPr>
      </w:pPr>
      <w:r>
        <w:rPr>
          <w:rFonts w:hint="eastAsia" w:ascii="宋体" w:hAnsi="宋体" w:eastAsia="宋体" w:cs="宋体"/>
          <w:b/>
          <w:bCs/>
          <w:kern w:val="0"/>
          <w:sz w:val="30"/>
          <w:szCs w:val="30"/>
          <w:lang w:val="en-US" w:eastAsia="zh-CN"/>
        </w:rPr>
        <w:t xml:space="preserve">  </w:t>
      </w:r>
      <w:r>
        <w:rPr>
          <w:rFonts w:hint="eastAsia" w:ascii="宋体" w:hAnsi="宋体" w:eastAsia="宋体" w:cs="宋体"/>
          <w:kern w:val="0"/>
        </w:rPr>
        <w:t>（一）建设内容及服务一览表</w:t>
      </w:r>
    </w:p>
    <w:tbl>
      <w:tblPr>
        <w:tblStyle w:val="4"/>
        <w:tblW w:w="10489" w:type="dxa"/>
        <w:jc w:val="center"/>
        <w:tblLayout w:type="autofit"/>
        <w:tblCellMar>
          <w:top w:w="0" w:type="dxa"/>
          <w:left w:w="108" w:type="dxa"/>
          <w:bottom w:w="0" w:type="dxa"/>
          <w:right w:w="108" w:type="dxa"/>
        </w:tblCellMar>
      </w:tblPr>
      <w:tblGrid>
        <w:gridCol w:w="709"/>
        <w:gridCol w:w="2126"/>
        <w:gridCol w:w="2551"/>
        <w:gridCol w:w="2552"/>
        <w:gridCol w:w="2551"/>
      </w:tblGrid>
      <w:tr>
        <w:tblPrEx>
          <w:tblCellMar>
            <w:top w:w="0" w:type="dxa"/>
            <w:left w:w="108" w:type="dxa"/>
            <w:bottom w:w="0" w:type="dxa"/>
            <w:right w:w="108" w:type="dxa"/>
          </w:tblCellMar>
        </w:tblPrEx>
        <w:trPr>
          <w:trHeight w:val="500" w:hRule="atLeast"/>
          <w:jc w:val="center"/>
        </w:trPr>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Hans"/>
              </w:rPr>
              <w:t>序号</w:t>
            </w:r>
          </w:p>
        </w:tc>
        <w:tc>
          <w:tcPr>
            <w:tcW w:w="2126"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Hans"/>
              </w:rPr>
              <w:t>课程项目</w:t>
            </w:r>
          </w:p>
        </w:tc>
        <w:tc>
          <w:tcPr>
            <w:tcW w:w="2551"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Hans"/>
              </w:rPr>
              <w:t>《黄帝内经》研究</w:t>
            </w:r>
          </w:p>
        </w:tc>
        <w:tc>
          <w:tcPr>
            <w:tcW w:w="255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Hans"/>
              </w:rPr>
              <w:t>《伤寒论》研究</w:t>
            </w:r>
          </w:p>
        </w:tc>
        <w:tc>
          <w:tcPr>
            <w:tcW w:w="2551"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eastAsia="zh-Hans"/>
              </w:rPr>
              <w:t>《中医内科学》研究</w:t>
            </w:r>
          </w:p>
        </w:tc>
      </w:tr>
      <w:tr>
        <w:tblPrEx>
          <w:tblCellMar>
            <w:top w:w="0" w:type="dxa"/>
            <w:left w:w="108" w:type="dxa"/>
            <w:bottom w:w="0" w:type="dxa"/>
            <w:right w:w="108" w:type="dxa"/>
          </w:tblCellMar>
        </w:tblPrEx>
        <w:trPr>
          <w:trHeight w:val="500" w:hRule="atLeast"/>
          <w:jc w:val="center"/>
        </w:trPr>
        <w:tc>
          <w:tcPr>
            <w:tcW w:w="70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12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学时（讲）</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16</w:t>
            </w:r>
            <w:r>
              <w:rPr>
                <w:rFonts w:hint="eastAsia" w:ascii="宋体" w:hAnsi="宋体" w:eastAsia="宋体" w:cs="宋体"/>
                <w:color w:val="000000"/>
                <w:kern w:val="0"/>
                <w:sz w:val="21"/>
                <w:szCs w:val="21"/>
              </w:rPr>
              <w:t>（讲）</w:t>
            </w:r>
          </w:p>
        </w:tc>
        <w:tc>
          <w:tcPr>
            <w:tcW w:w="25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16（讲）</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（讲）</w:t>
            </w:r>
          </w:p>
        </w:tc>
      </w:tr>
      <w:tr>
        <w:tblPrEx>
          <w:tblCellMar>
            <w:top w:w="0" w:type="dxa"/>
            <w:left w:w="108" w:type="dxa"/>
            <w:bottom w:w="0" w:type="dxa"/>
            <w:right w:w="108" w:type="dxa"/>
          </w:tblCellMar>
        </w:tblPrEx>
        <w:trPr>
          <w:trHeight w:val="500" w:hRule="atLeast"/>
          <w:jc w:val="center"/>
        </w:trPr>
        <w:tc>
          <w:tcPr>
            <w:tcW w:w="70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12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Hans"/>
              </w:rPr>
              <w:t>课程宣传片定制(个)</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CellMar>
            <w:top w:w="0" w:type="dxa"/>
            <w:left w:w="108" w:type="dxa"/>
            <w:bottom w:w="0" w:type="dxa"/>
            <w:right w:w="108" w:type="dxa"/>
          </w:tblCellMar>
        </w:tblPrEx>
        <w:trPr>
          <w:trHeight w:val="500" w:hRule="atLeast"/>
          <w:jc w:val="center"/>
        </w:trPr>
        <w:tc>
          <w:tcPr>
            <w:tcW w:w="70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12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Hans"/>
              </w:rPr>
              <w:t>片头片尾定制(个)</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r>
      <w:tr>
        <w:tblPrEx>
          <w:tblCellMar>
            <w:top w:w="0" w:type="dxa"/>
            <w:left w:w="108" w:type="dxa"/>
            <w:bottom w:w="0" w:type="dxa"/>
            <w:right w:w="108" w:type="dxa"/>
          </w:tblCellMar>
        </w:tblPrEx>
        <w:trPr>
          <w:trHeight w:val="500" w:hRule="atLeast"/>
          <w:jc w:val="center"/>
        </w:trPr>
        <w:tc>
          <w:tcPr>
            <w:tcW w:w="70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12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字幕（中文）</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配套整门课</w:t>
            </w:r>
          </w:p>
        </w:tc>
        <w:tc>
          <w:tcPr>
            <w:tcW w:w="25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配套整门课</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配套整门课</w:t>
            </w:r>
          </w:p>
        </w:tc>
      </w:tr>
      <w:tr>
        <w:tblPrEx>
          <w:tblCellMar>
            <w:top w:w="0" w:type="dxa"/>
            <w:left w:w="108" w:type="dxa"/>
            <w:bottom w:w="0" w:type="dxa"/>
            <w:right w:w="108" w:type="dxa"/>
          </w:tblCellMar>
        </w:tblPrEx>
        <w:trPr>
          <w:trHeight w:val="500" w:hRule="atLeast"/>
          <w:jc w:val="center"/>
        </w:trPr>
        <w:tc>
          <w:tcPr>
            <w:tcW w:w="70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12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字幕（英文）</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配套整门课</w:t>
            </w:r>
          </w:p>
        </w:tc>
        <w:tc>
          <w:tcPr>
            <w:tcW w:w="25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配套整门课</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不需要</w:t>
            </w:r>
          </w:p>
        </w:tc>
      </w:tr>
      <w:tr>
        <w:tblPrEx>
          <w:tblCellMar>
            <w:top w:w="0" w:type="dxa"/>
            <w:left w:w="108" w:type="dxa"/>
            <w:bottom w:w="0" w:type="dxa"/>
            <w:right w:w="108" w:type="dxa"/>
          </w:tblCellMar>
        </w:tblPrEx>
        <w:trPr>
          <w:trHeight w:val="1720" w:hRule="atLeast"/>
          <w:jc w:val="center"/>
        </w:trPr>
        <w:tc>
          <w:tcPr>
            <w:tcW w:w="70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12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其他要求</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每（讲）学时视频总时长约</w:t>
            </w:r>
            <w:r>
              <w:rPr>
                <w:rFonts w:hint="eastAsia" w:ascii="宋体" w:hAnsi="宋体" w:eastAsia="宋体" w:cs="宋体"/>
                <w:color w:val="000000"/>
                <w:kern w:val="0"/>
                <w:sz w:val="21"/>
                <w:szCs w:val="21"/>
                <w:lang w:val="en-US" w:eastAsia="zh-CN"/>
              </w:rPr>
              <w:t>60</w:t>
            </w:r>
            <w:r>
              <w:rPr>
                <w:rFonts w:hint="eastAsia" w:ascii="宋体" w:hAnsi="宋体" w:eastAsia="宋体" w:cs="宋体"/>
                <w:color w:val="000000"/>
                <w:kern w:val="0"/>
                <w:sz w:val="21"/>
                <w:szCs w:val="21"/>
              </w:rPr>
              <w:t>分钟，后期视内容截成2-6个视频，单一视频时长5-15分钟。</w:t>
            </w:r>
          </w:p>
        </w:tc>
        <w:tc>
          <w:tcPr>
            <w:tcW w:w="25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每（讲）学时视频总时长约60分钟，后期视内容截成4-12个视频，单一视频时长5-15分钟。</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每（讲）学时视频总时长约</w:t>
            </w:r>
            <w:r>
              <w:rPr>
                <w:rFonts w:hint="eastAsia" w:ascii="宋体" w:hAnsi="宋体" w:eastAsia="宋体" w:cs="宋体"/>
                <w:color w:val="000000"/>
                <w:kern w:val="0"/>
                <w:sz w:val="21"/>
                <w:szCs w:val="21"/>
                <w:lang w:val="en-US" w:eastAsia="zh-CN"/>
              </w:rPr>
              <w:t>90</w:t>
            </w:r>
            <w:r>
              <w:rPr>
                <w:rFonts w:hint="eastAsia" w:ascii="宋体" w:hAnsi="宋体" w:eastAsia="宋体" w:cs="宋体"/>
                <w:color w:val="000000"/>
                <w:kern w:val="0"/>
                <w:sz w:val="21"/>
                <w:szCs w:val="21"/>
              </w:rPr>
              <w:t>分钟，后期视内容截成4-12个视频，单一视频时长5-15分钟。</w:t>
            </w:r>
          </w:p>
        </w:tc>
      </w:tr>
      <w:tr>
        <w:tblPrEx>
          <w:tblCellMar>
            <w:top w:w="0" w:type="dxa"/>
            <w:left w:w="108" w:type="dxa"/>
            <w:bottom w:w="0" w:type="dxa"/>
            <w:right w:w="108" w:type="dxa"/>
          </w:tblCellMar>
        </w:tblPrEx>
        <w:trPr>
          <w:trHeight w:val="500" w:hRule="atLeast"/>
          <w:jc w:val="center"/>
        </w:trPr>
        <w:tc>
          <w:tcPr>
            <w:tcW w:w="709"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126"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Hans"/>
              </w:rPr>
              <w:t>视频总时长(分钟)</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约960 分钟</w:t>
            </w:r>
          </w:p>
        </w:tc>
        <w:tc>
          <w:tcPr>
            <w:tcW w:w="2552"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约960分钟</w:t>
            </w:r>
          </w:p>
        </w:tc>
        <w:tc>
          <w:tcPr>
            <w:tcW w:w="2551"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约</w:t>
            </w:r>
            <w:r>
              <w:rPr>
                <w:rFonts w:hint="eastAsia" w:ascii="宋体" w:hAnsi="宋体" w:eastAsia="宋体" w:cs="宋体"/>
                <w:color w:val="000000"/>
                <w:kern w:val="0"/>
                <w:sz w:val="21"/>
                <w:szCs w:val="21"/>
                <w:lang w:val="en-US" w:eastAsia="zh-CN"/>
              </w:rPr>
              <w:t>810</w:t>
            </w:r>
            <w:r>
              <w:rPr>
                <w:rFonts w:hint="eastAsia" w:ascii="宋体" w:hAnsi="宋体" w:eastAsia="宋体" w:cs="宋体"/>
                <w:color w:val="000000"/>
                <w:kern w:val="0"/>
                <w:sz w:val="21"/>
                <w:szCs w:val="21"/>
              </w:rPr>
              <w:t>分钟</w:t>
            </w:r>
          </w:p>
        </w:tc>
      </w:tr>
    </w:tbl>
    <w:p>
      <w:pPr>
        <w:widowControl/>
        <w:spacing w:before="100" w:beforeAutospacing="1" w:after="100" w:afterAutospacing="1" w:line="435" w:lineRule="atLeast"/>
        <w:jc w:val="left"/>
        <w:rPr>
          <w:rFonts w:ascii="宋体" w:hAnsi="宋体" w:eastAsia="宋体" w:cs="宋体"/>
          <w:kern w:val="0"/>
          <w:sz w:val="21"/>
          <w:szCs w:val="21"/>
        </w:rPr>
      </w:pPr>
      <w:r>
        <w:rPr>
          <w:rFonts w:ascii="宋体" w:hAnsi="宋体" w:eastAsia="宋体" w:cs="宋体"/>
          <w:kern w:val="0"/>
          <w:sz w:val="21"/>
          <w:szCs w:val="21"/>
        </w:rPr>
        <w:t>以上服务分项以总量控制，根据制作过程实际允许调整±10%。课程名称以实际调整为准。</w:t>
      </w:r>
      <w:r>
        <w:rPr>
          <w:rFonts w:hint="eastAsia" w:ascii="宋体" w:hAnsi="宋体" w:eastAsia="宋体" w:cs="宋体"/>
          <w:kern w:val="0"/>
          <w:sz w:val="21"/>
          <w:szCs w:val="21"/>
          <w:highlight w:val="yellow"/>
          <w:lang w:val="en-US" w:eastAsia="zh-CN"/>
        </w:rPr>
        <w:t>频拍摄需要在11月30日前完成</w:t>
      </w:r>
      <w:r>
        <w:rPr>
          <w:rFonts w:hint="eastAsia" w:ascii="宋体" w:hAnsi="宋体" w:eastAsia="宋体" w:cs="宋体"/>
          <w:kern w:val="0"/>
          <w:sz w:val="21"/>
          <w:szCs w:val="21"/>
          <w:lang w:val="en-US" w:eastAsia="zh-CN"/>
        </w:rPr>
        <w:t>，</w:t>
      </w:r>
      <w:r>
        <w:rPr>
          <w:rFonts w:ascii="宋体" w:hAnsi="宋体" w:eastAsia="宋体" w:cs="宋体"/>
          <w:kern w:val="0"/>
          <w:sz w:val="21"/>
          <w:szCs w:val="21"/>
        </w:rPr>
        <w:t>中英双语字幕（英文字幕可延后交付，时间</w:t>
      </w:r>
      <w:r>
        <w:rPr>
          <w:rFonts w:hint="eastAsia" w:ascii="宋体" w:hAnsi="宋体" w:eastAsia="宋体" w:cs="宋体"/>
          <w:kern w:val="0"/>
          <w:sz w:val="21"/>
          <w:szCs w:val="21"/>
        </w:rPr>
        <w:t>可另行</w:t>
      </w:r>
      <w:r>
        <w:rPr>
          <w:rFonts w:ascii="宋体" w:hAnsi="宋体" w:eastAsia="宋体" w:cs="宋体"/>
          <w:kern w:val="0"/>
          <w:sz w:val="21"/>
          <w:szCs w:val="21"/>
        </w:rPr>
        <w:t>再协商）。</w:t>
      </w:r>
    </w:p>
    <w:p>
      <w:pPr>
        <w:widowControl/>
        <w:spacing w:before="100" w:beforeAutospacing="1" w:after="100" w:afterAutospacing="1" w:line="435" w:lineRule="atLeast"/>
        <w:jc w:val="left"/>
        <w:rPr>
          <w:rFonts w:ascii="宋体" w:hAnsi="宋体" w:eastAsia="宋体"/>
          <w:b/>
          <w:bCs/>
        </w:rPr>
      </w:pPr>
      <w:r>
        <w:rPr>
          <w:rFonts w:hint="eastAsia" w:ascii="宋体" w:hAnsi="宋体" w:eastAsia="宋体" w:cs="宋体"/>
          <w:kern w:val="0"/>
        </w:rPr>
        <w:t>（二）项目说明及设计制作要求</w:t>
      </w:r>
    </w:p>
    <w:p>
      <w:pPr>
        <w:pStyle w:val="3"/>
        <w:spacing w:line="293" w:lineRule="atLeast"/>
        <w:ind w:firstLine="420"/>
      </w:pPr>
      <w:r>
        <w:t>专业学位研究生在线示范课程应深度融合现代化教育技术，充分运用信息化教学平台，使用智慧教学工具创新授课方式和教学方法，科学评价学习过程和学习效果。</w:t>
      </w:r>
      <w:r>
        <w:rPr>
          <w:rFonts w:hint="eastAsia"/>
        </w:rPr>
        <w:t>本项目的总体制作标准和技术规范要按照</w:t>
      </w:r>
      <w:r>
        <w:t>专业学位研究生首批在线示范课程建设技术要求（2022版）</w:t>
      </w:r>
      <w:r>
        <w:rPr>
          <w:rFonts w:hint="eastAsia"/>
        </w:rPr>
        <w:t>进行总体规划和实施，在教学设计、技术参数、资源配置等方面达到</w:t>
      </w:r>
      <w:r>
        <w:t>专业学位研究生首批在线示范课程建设技术要求（2022版）</w:t>
      </w:r>
      <w:r>
        <w:rPr>
          <w:rFonts w:hint="eastAsia"/>
        </w:rPr>
        <w:t>，能够满足国内主流权威公开课程平台认证上线标准，在课程质量、教学内容、共享范围、应用效果和示范性方面达到较高的水准。视频建设需依据课程团队提出来的项目建设文件标准进行。同时还应满足以下要求：</w:t>
      </w:r>
    </w:p>
    <w:p>
      <w:pPr>
        <w:pStyle w:val="3"/>
        <w:spacing w:line="293" w:lineRule="atLeast"/>
        <w:ind w:firstLine="420"/>
      </w:pPr>
      <w:r>
        <w:rPr>
          <w:rStyle w:val="6"/>
          <w:rFonts w:hint="eastAsia"/>
        </w:rPr>
        <w:t>1.视频的制作及运行</w:t>
      </w:r>
    </w:p>
    <w:p>
      <w:pPr>
        <w:pStyle w:val="3"/>
        <w:spacing w:line="293" w:lineRule="atLeast"/>
        <w:ind w:firstLine="420"/>
      </w:pPr>
      <w:r>
        <w:rPr>
          <w:rFonts w:hint="eastAsia"/>
        </w:rPr>
        <w:t>制作拍摄的课程，必须完成课程教学大纲要求的所有知识点的拍摄，且严格按照课程负责人的教学安排和拍摄计划，完全拍摄并完成制作，不得转包及外包，并针对录课讲师从课程结构优化、教学方法设计、教学技能建议、录制课程技巧等几方面对进行适当的培训及协助老师完成翻转课堂、混合式教学等课程的课堂编排、指导等服务工作。</w:t>
      </w:r>
    </w:p>
    <w:p>
      <w:pPr>
        <w:pStyle w:val="3"/>
        <w:spacing w:line="293" w:lineRule="atLeast"/>
        <w:ind w:firstLine="420"/>
      </w:pPr>
      <w:r>
        <w:rPr>
          <w:rStyle w:val="6"/>
          <w:rFonts w:hint="eastAsia"/>
        </w:rPr>
        <w:t>2.人员配置及设备要求</w:t>
      </w:r>
    </w:p>
    <w:p>
      <w:pPr>
        <w:pStyle w:val="3"/>
        <w:spacing w:line="293" w:lineRule="atLeast"/>
      </w:pPr>
      <w:r>
        <w:rPr>
          <w:rStyle w:val="6"/>
          <w:rFonts w:hint="eastAsia"/>
        </w:rPr>
        <w:t>▲</w:t>
      </w:r>
      <w:r>
        <w:rPr>
          <w:rFonts w:hint="eastAsia"/>
        </w:rPr>
        <w:t>（1）具备三年以上经验的课程顾问团队课程编导与老师深度沟通(至少4名)，多对一的提供课程咨询服务，收集材料, 协助老师进行课程梳理，形成课程概要设 计，帮助老师进行知识点碎片化，形成课程教学大纲等，起草课程脚本、拟定分组镜头大纲。从课程启动到课程交付，必须全程跟进，并保持团队稳定，特殊原因中途更换团队须与老师协商同意。</w:t>
      </w:r>
    </w:p>
    <w:p>
      <w:pPr>
        <w:pStyle w:val="3"/>
        <w:spacing w:line="293" w:lineRule="atLeast"/>
      </w:pPr>
      <w:r>
        <w:rPr>
          <w:rFonts w:hint="eastAsia"/>
        </w:rPr>
        <w:t>（2）具备资深专业摄像师、摄像助理、化妆师、灯光师、场记员等专业摄像团队拍摄现场服务，包括拍摄前及拍摄过程摄像机、机位位置、音频设备、灯管调试管理，化妆，拍摄进度、时间、内容、景别等内容的记录。每门课程的视频配备一位技术总监，拍摄人员至少2名，其中至少有1名拍摄人员具备2年以上工作经验且至少拍摄过2门课程。</w:t>
      </w:r>
    </w:p>
    <w:p>
      <w:pPr>
        <w:pStyle w:val="3"/>
        <w:spacing w:line="293" w:lineRule="atLeast"/>
      </w:pPr>
      <w:r>
        <w:rPr>
          <w:rFonts w:hint="eastAsia"/>
        </w:rPr>
        <w:t>（3）视频后期制作人员至少3名，负责课程片花、样片、课程视频的制作与完善等。完成视频调色渲染、特效包装、二维/三维动画制作、字幕制作、视频转换等进行视频后期处理。</w:t>
      </w:r>
    </w:p>
    <w:p>
      <w:pPr>
        <w:pStyle w:val="3"/>
        <w:spacing w:line="293" w:lineRule="atLeast"/>
      </w:pPr>
      <w:r>
        <w:rPr>
          <w:rStyle w:val="6"/>
          <w:rFonts w:hint="eastAsia"/>
        </w:rPr>
        <w:t>▲</w:t>
      </w:r>
      <w:r>
        <w:rPr>
          <w:rFonts w:hint="eastAsia"/>
        </w:rPr>
        <w:t>（4）拍摄设备：专业摄像机(至少2机位调配)，拍摄设备要同型同款，保证录制效果一致，分辨率应达到</w:t>
      </w:r>
      <w:r>
        <w:t>1920*1080</w:t>
      </w:r>
      <w:r>
        <w:rPr>
          <w:rFonts w:hint="eastAsia"/>
        </w:rPr>
        <w:t>，</w:t>
      </w:r>
      <w:r>
        <w:t>25</w:t>
      </w:r>
      <w:r>
        <w:rPr>
          <w:rFonts w:hint="eastAsia"/>
        </w:rPr>
        <w:t xml:space="preserve">fps，PAL制的要求，如使用微单或单反相机拍摄要求至少SONY </w:t>
      </w:r>
      <w:r>
        <w:t>FX3</w:t>
      </w:r>
      <w:r>
        <w:rPr>
          <w:rFonts w:hint="eastAsia"/>
        </w:rPr>
        <w:t>、佳能5D4、尼康D850等型号；拍摄轨道、摇臂、1.5 米小型轨等；辅助记忆设备(提词器)1 套；专业无线麦模式的音频设备、专业影视摄影镝灯，LED 面光灯等。</w:t>
      </w:r>
    </w:p>
    <w:p>
      <w:pPr>
        <w:pStyle w:val="3"/>
        <w:spacing w:line="293" w:lineRule="atLeast"/>
      </w:pPr>
      <w:r>
        <w:rPr>
          <w:rFonts w:hint="eastAsia"/>
        </w:rPr>
        <w:t>（5）供应商需擅长视频拍摄制作，还要有教育行业服务经验，了解教学规律、理解 MOOC 内涵、熟悉互联网教学应用等，配备高水平的制作人才。且拍摄组在项目完结期间不允许有其他业务冲突。</w:t>
      </w:r>
    </w:p>
    <w:p>
      <w:pPr>
        <w:pStyle w:val="3"/>
        <w:spacing w:line="293" w:lineRule="atLeast"/>
      </w:pPr>
      <w:r>
        <w:rPr>
          <w:rFonts w:hint="eastAsia"/>
        </w:rPr>
        <w:t>（6）供应商需提供专业的摄像设备、音频设备、灯光设备和后期编辑设备。</w:t>
      </w:r>
    </w:p>
    <w:p>
      <w:pPr>
        <w:pStyle w:val="3"/>
        <w:spacing w:line="293" w:lineRule="atLeast"/>
      </w:pPr>
      <w:r>
        <w:rPr>
          <w:rFonts w:hint="eastAsia"/>
        </w:rPr>
        <w:t>（7）供应商需提供以下专业人员服务：化妆师、形象设 计师、灯光师、场记、片头制作师、课程精剪师、特效包装师、二维动画师&amp;三维动画师、字幕制作师、视频格式转换等。</w:t>
      </w:r>
    </w:p>
    <w:p>
      <w:pPr>
        <w:pStyle w:val="3"/>
        <w:spacing w:line="293" w:lineRule="atLeast"/>
      </w:pPr>
      <w:r>
        <w:rPr>
          <w:rFonts w:hint="eastAsia"/>
        </w:rPr>
        <w:t>（8）制作方要懂教学，具备丰富的课程设 计经验以及教学设计能力，能够辅助教师进行课程教学设 计重构，慕课课程整体设 计。</w:t>
      </w:r>
    </w:p>
    <w:p>
      <w:pPr>
        <w:pStyle w:val="3"/>
        <w:spacing w:line="293" w:lineRule="atLeast"/>
      </w:pPr>
      <w:r>
        <w:rPr>
          <w:rStyle w:val="6"/>
          <w:rFonts w:hint="eastAsia"/>
        </w:rPr>
        <w:t>▲3.录制场地及拍摄方式要求</w:t>
      </w:r>
    </w:p>
    <w:p>
      <w:pPr>
        <w:pStyle w:val="3"/>
        <w:spacing w:line="293" w:lineRule="atLeast"/>
        <w:ind w:firstLine="480"/>
      </w:pPr>
      <w:r>
        <w:rPr>
          <w:rFonts w:hint="eastAsia"/>
        </w:rPr>
        <w:t>由于项目拍摄周期长，制作时间紧张，供应商须在采购人校内或学校附近设置拍摄基地以备特殊情况的拍摄需求，提供所需所有设备并搭建拍摄场景并配备本地课程制作服务团队，提供驻场服务。各供应商应视自身情况提供相关材料，否则将视为无效询价。</w:t>
      </w:r>
    </w:p>
    <w:p>
      <w:pPr>
        <w:pStyle w:val="3"/>
        <w:spacing w:line="293" w:lineRule="atLeast"/>
        <w:ind w:firstLine="420"/>
      </w:pPr>
      <w:r>
        <w:rPr>
          <w:rStyle w:val="6"/>
          <w:rFonts w:hint="eastAsia"/>
        </w:rPr>
        <w:t>4.课程制作要求</w:t>
      </w:r>
    </w:p>
    <w:p>
      <w:pPr>
        <w:pStyle w:val="3"/>
        <w:spacing w:line="293" w:lineRule="atLeast"/>
        <w:ind w:firstLine="480"/>
      </w:pPr>
      <w:r>
        <w:rPr>
          <w:rFonts w:hint="eastAsia"/>
        </w:rPr>
        <w:t>（1）为满足实际课程拍摄的需要，供应商需提供</w:t>
      </w:r>
      <w:r>
        <w:t>8</w:t>
      </w:r>
      <w:r>
        <w:rPr>
          <w:rFonts w:hint="eastAsia"/>
        </w:rPr>
        <w:t>种以上拍摄模式供课程负责老师参考和选择：</w:t>
      </w:r>
    </w:p>
    <w:p>
      <w:pPr>
        <w:pStyle w:val="3"/>
        <w:spacing w:line="293" w:lineRule="atLeast"/>
        <w:ind w:firstLine="480"/>
      </w:pPr>
      <w:r>
        <w:rPr>
          <w:rFonts w:hint="eastAsia"/>
        </w:rPr>
        <w:t>①大屏PPT模式：在摄影棚内拍摄，全程PPT演示可展示教学素材；</w:t>
      </w:r>
    </w:p>
    <w:p>
      <w:pPr>
        <w:pStyle w:val="3"/>
        <w:spacing w:line="293" w:lineRule="atLeast"/>
        <w:ind w:firstLine="480"/>
      </w:pPr>
      <w:r>
        <w:rPr>
          <w:rFonts w:hint="eastAsia"/>
        </w:rPr>
        <w:t>②实景访谈模式：在摄影棚内摆拍根据访谈人数，设定机位数一般 2-3 机位，教学过程由多位老师交流讨论完成。适合启发性的、思维拓展和发散的学科课程；</w:t>
      </w:r>
    </w:p>
    <w:p>
      <w:pPr>
        <w:pStyle w:val="3"/>
        <w:spacing w:line="293" w:lineRule="atLeast"/>
        <w:ind w:firstLine="480"/>
      </w:pPr>
      <w:r>
        <w:rPr>
          <w:rFonts w:hint="eastAsia"/>
        </w:rPr>
        <w:t>③实景演示模式：在摄影棚内多机位拍摄通过实际操作演示完成教学过程；</w:t>
      </w:r>
    </w:p>
    <w:p>
      <w:pPr>
        <w:pStyle w:val="3"/>
        <w:spacing w:line="293" w:lineRule="atLeast"/>
        <w:ind w:firstLine="480"/>
      </w:pPr>
      <w:r>
        <w:rPr>
          <w:rFonts w:hint="eastAsia"/>
        </w:rPr>
        <w:t>④黑白背模式：在摄影棚内按照脚本设计完成课程拍摄，后期配动态背景可以根据老师讲课风格特点增加课程趣味性；</w:t>
      </w:r>
    </w:p>
    <w:p>
      <w:pPr>
        <w:pStyle w:val="3"/>
        <w:spacing w:line="293" w:lineRule="atLeast"/>
        <w:ind w:firstLine="480"/>
      </w:pPr>
      <w:r>
        <w:rPr>
          <w:rFonts w:hint="eastAsia"/>
        </w:rPr>
        <w:t>⑤虚拟抠像模式：老师在基地摄影棚内完成虚拟背景拍摄，后期用抠像模式展现课程，可根据课程特点加入各种风格的背景等；</w:t>
      </w:r>
    </w:p>
    <w:p>
      <w:pPr>
        <w:pStyle w:val="3"/>
        <w:spacing w:line="293" w:lineRule="atLeast"/>
        <w:ind w:firstLine="480"/>
      </w:pPr>
      <w:r>
        <w:rPr>
          <w:rFonts w:hint="eastAsia"/>
        </w:rPr>
        <w:t>⑥真人动画模式：在摄影棚内按照脚本设计完成课程拍摄，后期配动画根据老师讲课风格特点增加课程趣味性；</w:t>
      </w:r>
    </w:p>
    <w:p>
      <w:pPr>
        <w:pStyle w:val="3"/>
        <w:spacing w:line="293" w:lineRule="atLeast"/>
        <w:ind w:firstLine="480"/>
      </w:pPr>
      <w:r>
        <w:rPr>
          <w:rFonts w:hint="eastAsia"/>
        </w:rPr>
        <w:t>⑦完全动画模式：老师根据讲稿在基地摄影棚内完成高音质录音，后期用动画模式展现课程，可根据课程特点加入诙谐幽默等风格的配音动画等；</w:t>
      </w:r>
    </w:p>
    <w:p>
      <w:pPr>
        <w:pStyle w:val="3"/>
        <w:spacing w:line="293" w:lineRule="atLeast"/>
        <w:ind w:firstLine="480"/>
      </w:pPr>
      <w:r>
        <w:rPr>
          <w:rFonts w:hint="eastAsia"/>
        </w:rPr>
        <w:t>⑧外景模式：选择特定的拍摄场地，高品质音效、画面同步录制。教学过程由一位老师讲解或多位老师和学生互动、交流讨论完成，适合启发性的、思维拓展和发散的学科课程。</w:t>
      </w:r>
    </w:p>
    <w:p>
      <w:pPr>
        <w:pStyle w:val="3"/>
        <w:spacing w:line="293" w:lineRule="atLeast"/>
        <w:ind w:firstLine="480"/>
      </w:pPr>
      <w:r>
        <w:rPr>
          <w:rFonts w:hint="eastAsia"/>
        </w:rPr>
        <w:t xml:space="preserve">（2）知识单元化，课程制作按照知识单元进行，每个知识单元是一个独立的课程单元，视频时长在 </w:t>
      </w:r>
      <w:r>
        <w:t>5</w:t>
      </w:r>
      <w:r>
        <w:rPr>
          <w:rFonts w:hint="eastAsia"/>
        </w:rPr>
        <w:t>～15分钟左右为宜，具体根据课程知识点而定，包含这一个知识单元的授课视频、动画、参 考资料、作业题、试题库及其它相关资源等。知识单元篇头：知识单元授课内容之前加上课程篇头。知识单元考核：每个知识单元可设置考核点，包括作业、讨论等。</w:t>
      </w:r>
    </w:p>
    <w:p>
      <w:pPr>
        <w:pStyle w:val="3"/>
        <w:spacing w:line="293" w:lineRule="atLeast"/>
        <w:ind w:firstLine="480"/>
      </w:pPr>
      <w:r>
        <w:rPr>
          <w:rFonts w:hint="eastAsia"/>
        </w:rPr>
        <w:t>（3）协助教师完成适用于课程的分镜头脚本梳理，并协商达至一致意见后开始制作。</w:t>
      </w:r>
    </w:p>
    <w:p>
      <w:pPr>
        <w:pStyle w:val="3"/>
        <w:spacing w:line="293" w:lineRule="atLeast"/>
        <w:ind w:firstLine="480"/>
      </w:pPr>
      <w:r>
        <w:rPr>
          <w:rFonts w:hint="eastAsia"/>
        </w:rPr>
        <w:t>（4）制作的教学视频需符合慕课教学的特点：以知识点为单元的短视频、一对一面授氛围、教师仪态自然放松、教师着装得体、知识点表达准确、画面美观并符合教学规律、画质音质清晰等。</w:t>
      </w:r>
    </w:p>
    <w:p>
      <w:pPr>
        <w:pStyle w:val="3"/>
        <w:spacing w:line="293" w:lineRule="atLeast"/>
        <w:ind w:firstLine="480"/>
      </w:pPr>
      <w:r>
        <w:rPr>
          <w:rFonts w:hint="eastAsia"/>
        </w:rPr>
        <w:t>（5）供应商负责将教师提供的授课文档按照需要制作成授课用的 PPT 课件，或者对教师提供的 PPT 课件进行适应 MOOC 课程教学的调整，包括但不限于重新排版、美化、字体字号调整、统一风格等。</w:t>
      </w:r>
    </w:p>
    <w:p>
      <w:pPr>
        <w:pStyle w:val="3"/>
        <w:spacing w:line="293" w:lineRule="atLeast"/>
        <w:ind w:firstLine="480"/>
      </w:pPr>
      <w:r>
        <w:rPr>
          <w:rFonts w:hint="eastAsia"/>
        </w:rPr>
        <w:t>（6）供应商在后期剪辑授课视频中，应配合教师对教学效果的要求，积极合理地运用插图、特效、动画等多种手段。</w:t>
      </w:r>
    </w:p>
    <w:p>
      <w:pPr>
        <w:pStyle w:val="3"/>
        <w:spacing w:line="293" w:lineRule="atLeast"/>
        <w:ind w:firstLine="480"/>
      </w:pPr>
      <w:r>
        <w:rPr>
          <w:rFonts w:hint="eastAsia"/>
        </w:rPr>
        <w:t>（7）当老师指向PPT时，应在3秒内切换成含PPT在内的全景、PPT特写或插入PPT。插入的PPT应与授课内容吻合，且插入时长控制在5-8秒。</w:t>
      </w:r>
    </w:p>
    <w:p>
      <w:pPr>
        <w:pStyle w:val="3"/>
        <w:spacing w:line="293" w:lineRule="atLeast"/>
        <w:ind w:firstLine="480"/>
      </w:pPr>
      <w:r>
        <w:rPr>
          <w:rFonts w:hint="eastAsia"/>
        </w:rPr>
        <w:t>（8）编辑点处不同机位的镜头切换应使用叠画，画面衔接处应无明显色差。</w:t>
      </w:r>
    </w:p>
    <w:p>
      <w:pPr>
        <w:pStyle w:val="3"/>
        <w:spacing w:line="293" w:lineRule="atLeast"/>
        <w:ind w:firstLine="480"/>
      </w:pPr>
      <w:r>
        <w:rPr>
          <w:rFonts w:hint="eastAsia"/>
        </w:rPr>
        <w:t>（9）镜头无抖动、无穿帮，远近切时应缓推，速度均匀，不能忽快忽慢。</w:t>
      </w:r>
    </w:p>
    <w:p>
      <w:pPr>
        <w:pStyle w:val="3"/>
        <w:spacing w:line="293" w:lineRule="atLeast"/>
        <w:ind w:firstLine="480"/>
      </w:pPr>
      <w:r>
        <w:rPr>
          <w:rFonts w:hint="eastAsia"/>
        </w:rPr>
        <w:t>（10）唇音同步，音质清晰、饱满、圆润，无失真、忽大忽小、忽远忽近现象。无交流声、噪声或其它杂音。</w:t>
      </w:r>
    </w:p>
    <w:p>
      <w:pPr>
        <w:pStyle w:val="3"/>
        <w:spacing w:line="293" w:lineRule="atLeast"/>
        <w:ind w:firstLine="480"/>
      </w:pPr>
      <w:r>
        <w:rPr>
          <w:rFonts w:hint="eastAsia"/>
        </w:rPr>
        <w:t>（11）教师视频过程中，需始终保持和教师的良性沟通，认真听取教师意见，积极提出合理化建议。</w:t>
      </w:r>
    </w:p>
    <w:p>
      <w:pPr>
        <w:pStyle w:val="3"/>
        <w:spacing w:line="293" w:lineRule="atLeast"/>
        <w:ind w:firstLine="480"/>
      </w:pPr>
      <w:r>
        <w:rPr>
          <w:rFonts w:hint="eastAsia"/>
        </w:rPr>
        <w:t>（12）后期课程剪辑标准：根据讲课老师的特定要求剪去不需要的时间段。(例：XX分 XX秒～XX分XX秒部分内容剪去，注意剪辑后需要保证前后讲话内容的完整性，衔接流畅)。</w:t>
      </w:r>
    </w:p>
    <w:p>
      <w:pPr>
        <w:pStyle w:val="3"/>
        <w:spacing w:line="293" w:lineRule="atLeast"/>
        <w:ind w:firstLine="480"/>
      </w:pPr>
      <w:r>
        <w:rPr>
          <w:rFonts w:hint="eastAsia"/>
        </w:rPr>
        <w:t>讲课老师重复的语句，长时间的停顿，与课程内容无关的动作(如课前准备电脑，摆弄幻灯片，长时间翻阅资料)，以及授课过程中被某些原因打断授课的都可视情况剪去。</w:t>
      </w:r>
    </w:p>
    <w:p>
      <w:pPr>
        <w:pStyle w:val="3"/>
        <w:spacing w:line="293" w:lineRule="atLeast"/>
        <w:ind w:firstLine="480"/>
      </w:pPr>
      <w:r>
        <w:rPr>
          <w:rFonts w:hint="eastAsia"/>
        </w:rPr>
        <w:t>课程剪辑的转场出现在剪辑点，机位切换和PPT展示处。转场效果若不是特殊要求，使用硬切换或者淡入淡出。</w:t>
      </w:r>
    </w:p>
    <w:p>
      <w:pPr>
        <w:pStyle w:val="3"/>
        <w:spacing w:line="293" w:lineRule="atLeast"/>
        <w:ind w:firstLine="480"/>
      </w:pPr>
      <w:r>
        <w:rPr>
          <w:rFonts w:hint="eastAsia"/>
        </w:rPr>
        <w:t>（13）学习流程管理：在线开放课程需要支持完善的学习流程管理功能，实现学生在线选课、视频播放、讨论答疑、作业、考试、评估等功能。</w:t>
      </w:r>
    </w:p>
    <w:p>
      <w:pPr>
        <w:pStyle w:val="3"/>
        <w:spacing w:line="293" w:lineRule="atLeast"/>
        <w:ind w:firstLine="480"/>
      </w:pPr>
      <w:r>
        <w:rPr>
          <w:rFonts w:hint="eastAsia"/>
        </w:rPr>
        <w:t>（14）必须使用专业级话筒及音频处理设备，保证录音质量。音频信号源，声道：中文内容音频信号记录于第 1 声道，音乐、音效、同期声记录于第 2 声道，若有其他文字解说记录于第 3 声道(如录音设备无第 3 声道，则录于第 2 声道)。电平指标：-2db～-8db 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pStyle w:val="3"/>
        <w:spacing w:line="293" w:lineRule="atLeast"/>
        <w:ind w:firstLine="480"/>
      </w:pPr>
      <w:r>
        <w:rPr>
          <w:rFonts w:hint="eastAsia"/>
        </w:rPr>
        <w:t>（15）必须使用专业级话筒及音频处理设备，保证录音质量。音频信号源，声道：中文内容音频信号记录于第1声道，音乐、音效、同期声记录于第2声道，若有其他文字解说记录于第3声道(如录音设备无第 3 声道，则录于第2声道。电平指标：-2db～-8db声音应无明显失真、放音过冲、过弱。音频信噪比不低于 48db。声音和画面要求同步，无交流声或其他杂音等缺陷。伴音清晰、饱满、圆润，无失真、噪声杂音干扰、音量忽大忽小现象。解说声与现场声无明显比例失调，解说声与背景音乐无明显比例失调。</w:t>
      </w:r>
    </w:p>
    <w:p>
      <w:pPr>
        <w:pStyle w:val="3"/>
        <w:spacing w:line="293" w:lineRule="atLeast"/>
        <w:ind w:firstLine="480"/>
      </w:pPr>
      <w:r>
        <w:rPr>
          <w:rStyle w:val="6"/>
          <w:rFonts w:hint="eastAsia"/>
        </w:rPr>
        <w:t>5.视频制作要求</w:t>
      </w:r>
    </w:p>
    <w:p>
      <w:pPr>
        <w:pStyle w:val="3"/>
        <w:spacing w:line="293" w:lineRule="atLeast"/>
        <w:ind w:firstLine="480"/>
      </w:pPr>
      <w:r>
        <w:rPr>
          <w:rFonts w:hint="eastAsia"/>
        </w:rPr>
        <w:t>（1）提供专业的高清摄像机等主要拍摄制作设备的规格、型号及数量证明材料，若实际拍摄设备不属于本标书要求的专业的高清摄像机，则视为违反标书要求。</w:t>
      </w:r>
    </w:p>
    <w:p>
      <w:pPr>
        <w:pStyle w:val="3"/>
        <w:spacing w:line="293" w:lineRule="atLeast"/>
        <w:ind w:firstLine="480"/>
      </w:pPr>
      <w:r>
        <w:rPr>
          <w:rFonts w:hint="eastAsia"/>
        </w:rPr>
        <w:t>（2）采用高清拍摄时，分辨率为1080P，帧率不低于25fps，PAL制式，视频压缩采用H.264(MPEG-4 Part10：profile=main, level=3.0)编码方式。提供片头设 计和制作。</w:t>
      </w:r>
    </w:p>
    <w:p>
      <w:pPr>
        <w:pStyle w:val="3"/>
        <w:spacing w:line="293" w:lineRule="atLeast"/>
        <w:ind w:firstLine="480"/>
      </w:pPr>
      <w:r>
        <w:rPr>
          <w:rFonts w:hint="eastAsia"/>
        </w:rPr>
        <w:t>信噪比：图像信噪比不低于55dB，无明显杂波。色调：白平衡正确，无明显偏色，多机拍摄的镜头衔接处无明显色差。视频电平：视频全讯号幅度为 1Ⅴp-p，最大不超过1.1Ⅴp-p。其中，消隐电平为 0V 时，白电平幅度 0.7Ⅴp-p，同步信号-0.3V，色同步信号幅度0.3V p-p (以消隐线上下对称)，全片一致。支持转换mp4，mpg，flv 等通用的视频格式。</w:t>
      </w:r>
    </w:p>
    <w:p>
      <w:pPr>
        <w:pStyle w:val="3"/>
        <w:spacing w:line="293" w:lineRule="atLeast"/>
        <w:ind w:firstLine="480"/>
      </w:pPr>
      <w:r>
        <w:rPr>
          <w:rFonts w:hint="eastAsia"/>
        </w:rPr>
        <w:t>（3）录音设备要求使用若干个专业级话筒，保证录音质量。</w:t>
      </w:r>
    </w:p>
    <w:p>
      <w:pPr>
        <w:pStyle w:val="3"/>
        <w:spacing w:line="293" w:lineRule="atLeast"/>
        <w:ind w:firstLine="480"/>
      </w:pPr>
      <w:r>
        <w:rPr>
          <w:rFonts w:hint="eastAsia"/>
        </w:rPr>
        <w:t>（4）音频压缩采用AAC(MPEG4 Part3)格式。采样率48KHz。音频码流率256kbps(恒定)，音频信噪比不低于48db。双声道，须做混音处理。配音可中英文双音轨模式。</w:t>
      </w:r>
    </w:p>
    <w:p>
      <w:pPr>
        <w:pStyle w:val="3"/>
        <w:spacing w:line="293" w:lineRule="atLeast"/>
        <w:ind w:firstLine="480"/>
      </w:pPr>
      <w:r>
        <w:rPr>
          <w:rFonts w:hint="eastAsia"/>
        </w:rPr>
        <w:t>（5）动画制作，要求提供可嵌入视频的动画，嵌入时与视频融合恰当。</w:t>
      </w:r>
    </w:p>
    <w:p>
      <w:pPr>
        <w:pStyle w:val="3"/>
        <w:spacing w:line="293" w:lineRule="atLeast"/>
        <w:ind w:firstLine="480"/>
      </w:pPr>
      <w:r>
        <w:rPr>
          <w:rFonts w:hint="eastAsia"/>
        </w:rPr>
        <w:t>（6）字幕制作，字幕要使用符合国家标准的规范字，不出现繁体字、异体字(国家规定的除外)、错别字；字幕的字体、大小、色彩搭配、摆放位置、停留时间、出入屏方式力求与其他要素(画面、解说词、音乐)配合适当，不能破坏原有画面。</w:t>
      </w:r>
    </w:p>
    <w:p>
      <w:pPr>
        <w:pStyle w:val="3"/>
        <w:spacing w:line="293" w:lineRule="atLeast"/>
        <w:ind w:firstLine="480"/>
      </w:pPr>
      <w:r>
        <w:rPr>
          <w:rFonts w:hint="eastAsia"/>
        </w:rPr>
        <w:t>独立的SRT格式的字幕文件，每屏只有一行字幕，每行不超过</w:t>
      </w:r>
      <w:r>
        <w:t>18</w:t>
      </w:r>
      <w:r>
        <w:rPr>
          <w:rFonts w:hint="eastAsia"/>
        </w:rPr>
        <w:t>个字。</w:t>
      </w:r>
    </w:p>
    <w:p>
      <w:pPr>
        <w:pStyle w:val="3"/>
        <w:spacing w:line="293" w:lineRule="atLeast"/>
        <w:ind w:firstLine="480"/>
      </w:pPr>
      <w:r>
        <w:rPr>
          <w:rFonts w:hint="eastAsia"/>
        </w:rPr>
        <w:t xml:space="preserve">（7）片头片尾，片头一般不超过 </w:t>
      </w:r>
      <w:r>
        <w:t>15</w:t>
      </w:r>
      <w:r>
        <w:rPr>
          <w:rFonts w:hint="eastAsia"/>
        </w:rPr>
        <w:t>秒，应包括：学校 LOGO、课程名 称、讲次、主讲教师信息。片尾包括版权单位、录制时间等信息。</w:t>
      </w:r>
    </w:p>
    <w:p>
      <w:pPr>
        <w:pStyle w:val="3"/>
        <w:spacing w:line="293" w:lineRule="atLeast"/>
        <w:ind w:firstLine="480"/>
      </w:pPr>
      <w:r>
        <w:rPr>
          <w:rFonts w:hint="eastAsia"/>
        </w:rPr>
        <w:t>（8）版权要求，供应商因课程建设需要提供的学术视频、动画，应不涉及到版权纠纷。</w:t>
      </w:r>
    </w:p>
    <w:p>
      <w:pPr>
        <w:pStyle w:val="3"/>
        <w:spacing w:line="293" w:lineRule="atLeast"/>
        <w:ind w:firstLine="480"/>
      </w:pPr>
      <w:r>
        <w:rPr>
          <w:rFonts w:hint="eastAsia"/>
        </w:rPr>
        <w:t>（9）脚本制作标准</w:t>
      </w:r>
    </w:p>
    <w:p>
      <w:pPr>
        <w:pStyle w:val="3"/>
        <w:spacing w:line="293" w:lineRule="atLeast"/>
        <w:ind w:firstLine="480"/>
      </w:pPr>
      <w:r>
        <w:rPr>
          <w:rFonts w:hint="eastAsia"/>
        </w:rPr>
        <w:t>微课脚本应满足</w:t>
      </w:r>
      <w:r>
        <w:t>200</w:t>
      </w:r>
      <w:r>
        <w:rPr>
          <w:rFonts w:hint="eastAsia"/>
        </w:rPr>
        <w:t>字～</w:t>
      </w:r>
      <w:r>
        <w:t>220</w:t>
      </w:r>
      <w:r>
        <w:rPr>
          <w:rFonts w:hint="eastAsia"/>
        </w:rPr>
        <w:t>字/分钟；脚本的设 计需根据老师的课程设 计编排趣味性强、重点难点疑点突出、主题鲜明、深入简出的教学任务，吸引学生学习兴趣、启发独立思考。</w:t>
      </w:r>
    </w:p>
    <w:p>
      <w:pPr>
        <w:pStyle w:val="3"/>
        <w:spacing w:line="293" w:lineRule="atLeast"/>
        <w:ind w:firstLine="480"/>
      </w:pPr>
      <w:r>
        <w:rPr>
          <w:rStyle w:val="6"/>
          <w:rFonts w:hint="eastAsia"/>
        </w:rPr>
        <w:t>▲6.师资培训方案</w:t>
      </w:r>
    </w:p>
    <w:p>
      <w:pPr>
        <w:pStyle w:val="3"/>
        <w:spacing w:line="293" w:lineRule="atLeast"/>
        <w:ind w:firstLine="480"/>
      </w:pPr>
      <w:r>
        <w:rPr>
          <w:rFonts w:hint="eastAsia"/>
        </w:rPr>
        <w:t>为保证各类视频制作服务的顺利进行，供应商需提供针对录课讲师从相关项目视频的拍摄结构优化、方法设计、教学技能建议、录制课程技巧等几方面进行适当培训的方案。</w:t>
      </w:r>
      <w:r>
        <w:rPr>
          <w:rStyle w:val="6"/>
          <w:rFonts w:hint="eastAsia"/>
        </w:rPr>
        <w:t>（须提供在线课程教师培训方案）</w:t>
      </w:r>
    </w:p>
    <w:p>
      <w:pPr>
        <w:pStyle w:val="3"/>
        <w:spacing w:line="293" w:lineRule="atLeast"/>
        <w:ind w:firstLine="480"/>
      </w:pPr>
      <w:r>
        <w:rPr>
          <w:rStyle w:val="6"/>
          <w:rFonts w:hint="eastAsia"/>
        </w:rPr>
        <w:t>▲7.提供教师团队在课程建设中，相关个性化表单设计工具，当教师需要收集信息采集时，支持提供表单引擎功能。</w:t>
      </w:r>
      <w:r>
        <w:rPr>
          <w:rFonts w:hint="eastAsia"/>
        </w:rPr>
        <w:t>提供自建表单应用引擎；支持单位创建、发布、管理个性化表单；功能包含表单配置、发放和数据回收管理；支持编辑表单应用名称、图标；支持拖拽不同组件创建自己想要的表单样式，组件包括单选、多选、下拉框、下拉复选框、单行输入、多行输入、数字输入、日期选择、子表单、图片、附件、定位、说明文字等组件；支持添加手写签名字段，支持云端存储个人签名。支持添加定位字段。选项控件支持选项关联功能，例如选择A之后显示第2题，选择B之后显示第3题。支持基础字段支持联动显示其他表单数据。支持表单填写页缓存，未提交时意外退出后保存填写的内容。各字段支持自动填充上次填写内容。支持设置前端事件：可以在填写或编辑数据时，让表单字段值的变动触发一系列自动操作。支持设置数据推送：当表单数据或者结构发生变更时，将操作与变更后的数据推送至指定的服务器。</w:t>
      </w:r>
    </w:p>
    <w:p>
      <w:pPr>
        <w:pStyle w:val="3"/>
        <w:spacing w:line="293" w:lineRule="atLeast"/>
        <w:ind w:firstLine="480"/>
      </w:pPr>
      <w:r>
        <w:rPr>
          <w:rStyle w:val="6"/>
          <w:rFonts w:hint="eastAsia"/>
        </w:rPr>
        <w:t>8.教学资源管理</w:t>
      </w:r>
    </w:p>
    <w:p>
      <w:pPr>
        <w:pStyle w:val="3"/>
        <w:spacing w:line="293" w:lineRule="atLeast"/>
        <w:ind w:firstLine="480"/>
      </w:pPr>
      <w:r>
        <w:rPr>
          <w:rStyle w:val="6"/>
          <w:rFonts w:hint="eastAsia"/>
        </w:rPr>
        <w:t>▲</w:t>
      </w:r>
      <w:r>
        <w:rPr>
          <w:rFonts w:hint="eastAsia"/>
        </w:rPr>
        <w:t>（1）教师可以对自己所负责的教学资源的资料进行管理，建立教学资源文件的目录层级，并可灵活将教学资料在各目录中拖放，同时教师可以根据教学资源需要，赋予一人或多人一定权限，共同参于教学资源建设，即委派角色。</w:t>
      </w:r>
    </w:p>
    <w:p>
      <w:pPr>
        <w:pStyle w:val="3"/>
        <w:spacing w:line="293" w:lineRule="atLeast"/>
        <w:ind w:firstLine="480"/>
      </w:pPr>
      <w:r>
        <w:rPr>
          <w:rStyle w:val="6"/>
          <w:rFonts w:hint="eastAsia"/>
        </w:rPr>
        <w:t>▲</w:t>
      </w:r>
      <w:r>
        <w:rPr>
          <w:rFonts w:hint="eastAsia"/>
        </w:rPr>
        <w:t>（2）教师可以从备课资源库中查找并添加教学资源相关的教学参考书，推荐给学生直接进行在线阅读。</w:t>
      </w:r>
    </w:p>
    <w:p>
      <w:pPr>
        <w:pStyle w:val="3"/>
        <w:spacing w:line="293" w:lineRule="atLeast"/>
        <w:ind w:firstLine="480"/>
      </w:pPr>
      <w:r>
        <w:rPr>
          <w:rFonts w:hint="eastAsia"/>
        </w:rPr>
        <w:t>（3）教师可以从备课资源库中查找并添加教学资源相关的学术视频，推荐给学生直接进行在线观看。</w:t>
      </w:r>
    </w:p>
    <w:p>
      <w:pPr>
        <w:pStyle w:val="3"/>
        <w:spacing w:line="293" w:lineRule="atLeast"/>
        <w:ind w:firstLine="480"/>
      </w:pPr>
      <w:r>
        <w:rPr>
          <w:rFonts w:hint="eastAsia"/>
        </w:rPr>
        <w:t>（4）教师可以创建教学资源试题库，对试题库进行管理，包括添加、修改、删除、查询、浏览等功能。题型包括单选、多选、判断、简答、填空等，题的属性包括类别、难度系数、适用层级等。</w:t>
      </w:r>
    </w:p>
    <w:p>
      <w:pPr>
        <w:pStyle w:val="3"/>
        <w:spacing w:line="293" w:lineRule="atLeast"/>
        <w:ind w:firstLine="480"/>
      </w:pPr>
      <w:r>
        <w:rPr>
          <w:rFonts w:hint="eastAsia"/>
        </w:rPr>
        <w:t>（5）具有从题库或以前的测验中随机生成新的试卷的功能，教师可以对试卷中的试题进行添加、修改、删除、任意排序、预览等功能，还可以对试题设定分值。试卷可多次重复使用。</w:t>
      </w:r>
    </w:p>
    <w:p>
      <w:pPr>
        <w:pStyle w:val="3"/>
        <w:spacing w:line="293" w:lineRule="atLeast"/>
        <w:ind w:firstLine="480"/>
      </w:pPr>
      <w:r>
        <w:rPr>
          <w:rStyle w:val="6"/>
          <w:rFonts w:hint="eastAsia"/>
        </w:rPr>
        <w:t>▲</w:t>
      </w:r>
      <w:r>
        <w:rPr>
          <w:rFonts w:hint="eastAsia"/>
        </w:rPr>
        <w:t>（6）提供教师备课资源库的使用服务，包含100万种电子书，电子书和学术视频要没有版权问题。可与本教学资源进行有效链接和联动，同时在教学资源体系中，根据需要穿插、调用。</w:t>
      </w:r>
    </w:p>
    <w:p>
      <w:pPr>
        <w:pStyle w:val="3"/>
        <w:spacing w:line="293" w:lineRule="atLeast"/>
        <w:ind w:firstLine="480"/>
        <w:rPr>
          <w:rStyle w:val="6"/>
        </w:rPr>
      </w:pPr>
      <w:r>
        <w:rPr>
          <w:rStyle w:val="6"/>
          <w:rFonts w:hint="eastAsia"/>
        </w:rPr>
        <w:t>▲9.版权要求</w:t>
      </w:r>
    </w:p>
    <w:p>
      <w:pPr>
        <w:pStyle w:val="3"/>
        <w:spacing w:line="293" w:lineRule="atLeast"/>
        <w:ind w:firstLine="480"/>
      </w:pPr>
      <w:r>
        <w:t>供应商</w:t>
      </w:r>
      <w:r>
        <w:rPr>
          <w:rFonts w:hint="eastAsia"/>
        </w:rPr>
        <w:t>因课程建设需要提供教学备课资源调用。整合的高等教育各学科、专业的示范教学包资源，教师可以在教学实施中随时引用示范教学包中的课程资源、课堂活动示例、题库等内容，同时可以根据教师自己课程的需要进行重新组合使用。同时提供海量精品专题片视频，供教师结合平台进行使用，平台完全取得视频资源主讲人授权，无版权纠纷</w:t>
      </w:r>
      <w:r>
        <w:rPr>
          <w:rStyle w:val="6"/>
          <w:rFonts w:hint="eastAsia"/>
        </w:rPr>
        <w:t>，供应商须承诺所投产品具备有相应的版权证，且视频授权不少于10份（采购人有权在签订合同时，要求成交人提供所投产品具备相应的版权证相关证明材料，若成交人无法提供相关证明材料的，追究其违约责任并视情况上报行政监督部门）。</w:t>
      </w:r>
    </w:p>
    <w:p>
      <w:pPr>
        <w:pStyle w:val="3"/>
        <w:spacing w:line="293" w:lineRule="atLeast"/>
        <w:ind w:firstLine="480"/>
      </w:pPr>
      <w:r>
        <w:rPr>
          <w:rStyle w:val="6"/>
          <w:rFonts w:hint="eastAsia"/>
        </w:rPr>
        <w:t>10.视频资源的版权归属保障</w:t>
      </w:r>
    </w:p>
    <w:p>
      <w:pPr>
        <w:pStyle w:val="3"/>
        <w:spacing w:line="293" w:lineRule="atLeast"/>
        <w:ind w:firstLine="480"/>
      </w:pPr>
      <w:r>
        <w:rPr>
          <w:rFonts w:hint="eastAsia"/>
        </w:rPr>
        <w:t>制作的</w:t>
      </w:r>
      <w:r>
        <w:t>在线精品课程</w:t>
      </w:r>
      <w:r>
        <w:rPr>
          <w:rFonts w:hint="eastAsia"/>
        </w:rPr>
        <w:t>各类资源以及课程运行中，产生的各种教学相关数据，包括但不限于视频资源，师生信息，教学数据等，都归我校所有，供应商未经授权，不得对外发布或使用。要注意成片中所有使用的图片、音视频等素材的版权问题，规避版权风险。对授课案例中的当事人肖像权、隐私等采取适当技术手段处理。</w:t>
      </w:r>
    </w:p>
    <w:p>
      <w:pPr>
        <w:widowControl/>
        <w:spacing w:before="75" w:after="75"/>
        <w:rPr>
          <w:rFonts w:hint="eastAsia" w:ascii="宋体" w:hAnsi="宋体" w:eastAsia="宋体" w:cs="宋体"/>
          <w:b/>
          <w:bCs/>
          <w:kern w:val="0"/>
          <w:sz w:val="30"/>
          <w:szCs w:val="30"/>
        </w:rPr>
      </w:pPr>
    </w:p>
    <w:p>
      <w:pPr>
        <w:widowControl/>
        <w:spacing w:before="75" w:after="75"/>
        <w:jc w:val="center"/>
        <w:rPr>
          <w:rFonts w:hint="eastAsia" w:ascii="宋体" w:hAnsi="宋体" w:eastAsia="宋体" w:cs="宋体"/>
          <w:b/>
          <w:bCs/>
          <w:kern w:val="0"/>
          <w:sz w:val="30"/>
          <w:szCs w:val="30"/>
        </w:rPr>
      </w:pPr>
      <w:bookmarkStart w:id="0" w:name="_GoBack"/>
      <w:bookmarkEnd w:id="0"/>
    </w:p>
    <w:p>
      <w:pPr>
        <w:widowControl/>
        <w:spacing w:before="75" w:after="75"/>
        <w:jc w:val="center"/>
        <w:rPr>
          <w:rFonts w:hint="eastAsia" w:ascii="宋体" w:hAnsi="宋体" w:eastAsia="宋体" w:cs="宋体"/>
          <w:b/>
          <w:bCs/>
          <w:kern w:val="0"/>
          <w:sz w:val="30"/>
          <w:szCs w:val="30"/>
        </w:rPr>
      </w:pPr>
    </w:p>
    <w:p>
      <w:pPr>
        <w:rPr>
          <w:rFonts w:hint="eastAsia" w:ascii="宋体" w:hAnsi="宋体" w:eastAsia="宋体"/>
          <w:lang w:val="en-US" w:eastAsia="zh-CN"/>
        </w:rPr>
      </w:pPr>
      <w:r>
        <w:rPr>
          <w:rFonts w:hint="eastAsia" w:ascii="宋体" w:hAnsi="宋体" w:eastAsia="宋体" w:cs="宋体"/>
          <w:b/>
          <w:bCs/>
          <w:kern w:val="0"/>
          <w:sz w:val="30"/>
          <w:szCs w:val="30"/>
          <w:lang w:val="en-US" w:eastAsia="zh-CN"/>
        </w:rPr>
        <w:t xml:space="preserve"> </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1ODk3NmUwMTNkOTg3YTQ0ZDQ3MzE4YzFkMzU3NjcifQ=="/>
  </w:docVars>
  <w:rsids>
    <w:rsidRoot w:val="006C4877"/>
    <w:rsid w:val="00060409"/>
    <w:rsid w:val="000E4C6F"/>
    <w:rsid w:val="00126A13"/>
    <w:rsid w:val="00187D68"/>
    <w:rsid w:val="003E5F64"/>
    <w:rsid w:val="0046331B"/>
    <w:rsid w:val="00477C67"/>
    <w:rsid w:val="004A734D"/>
    <w:rsid w:val="0050288D"/>
    <w:rsid w:val="00530174"/>
    <w:rsid w:val="0055098C"/>
    <w:rsid w:val="005827C6"/>
    <w:rsid w:val="006149B2"/>
    <w:rsid w:val="006C4877"/>
    <w:rsid w:val="006F7620"/>
    <w:rsid w:val="00746071"/>
    <w:rsid w:val="00747FB6"/>
    <w:rsid w:val="00784629"/>
    <w:rsid w:val="008A393C"/>
    <w:rsid w:val="008C61D1"/>
    <w:rsid w:val="008D7785"/>
    <w:rsid w:val="00944D4A"/>
    <w:rsid w:val="00955AFA"/>
    <w:rsid w:val="00A94DBF"/>
    <w:rsid w:val="00B36E01"/>
    <w:rsid w:val="00DA5838"/>
    <w:rsid w:val="00DE2E0C"/>
    <w:rsid w:val="00EE5C44"/>
    <w:rsid w:val="00F57EBF"/>
    <w:rsid w:val="00FD6E8E"/>
    <w:rsid w:val="0BC7303F"/>
    <w:rsid w:val="1247608D"/>
    <w:rsid w:val="12791770"/>
    <w:rsid w:val="17605CDD"/>
    <w:rsid w:val="2A5838E4"/>
    <w:rsid w:val="474B4C33"/>
    <w:rsid w:val="4DBE3EFF"/>
    <w:rsid w:val="51F44B39"/>
    <w:rsid w:val="5B59079E"/>
    <w:rsid w:val="5C034E9F"/>
    <w:rsid w:val="66843D7E"/>
    <w:rsid w:val="75DA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1440" w:rightChars="700"/>
    </w:p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rPr>
  </w:style>
  <w:style w:type="character" w:styleId="6">
    <w:name w:val="Strong"/>
    <w:basedOn w:val="5"/>
    <w:qFormat/>
    <w:uiPriority w:val="22"/>
    <w:rPr>
      <w:b/>
      <w:bCs/>
    </w:rPr>
  </w:style>
  <w:style w:type="character" w:styleId="7">
    <w:name w:val="Hyperlink"/>
    <w:basedOn w:val="5"/>
    <w:unhideWhenUsed/>
    <w:uiPriority w:val="99"/>
    <w:rPr>
      <w:color w:val="0563C1" w:themeColor="hyperlink"/>
      <w:u w:val="single"/>
      <w14:textFill>
        <w14:solidFill>
          <w14:schemeClr w14:val="hlink"/>
        </w14:solidFill>
      </w14:textFill>
    </w:rPr>
  </w:style>
  <w:style w:type="character" w:customStyle="1" w:styleId="8">
    <w:name w:val="未处理的提及1"/>
    <w:basedOn w:val="5"/>
    <w:qFormat/>
    <w:uiPriority w:val="99"/>
    <w:rPr>
      <w:color w:val="605E5C"/>
      <w:shd w:val="clear" w:color="auto" w:fill="E1DFDD"/>
    </w:rPr>
  </w:style>
  <w:style w:type="paragraph" w:styleId="9">
    <w:name w:val="List Paragraph"/>
    <w:basedOn w:val="1"/>
    <w:qFormat/>
    <w:uiPriority w:val="34"/>
    <w:pPr>
      <w:ind w:firstLine="420"/>
    </w:pPr>
  </w:style>
  <w:style w:type="paragraph" w:customStyle="1" w:styleId="10">
    <w:name w:val="null3"/>
    <w:hidden/>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1496</Words>
  <Characters>8533</Characters>
  <Lines>71</Lines>
  <Paragraphs>20</Paragraphs>
  <TotalTime>15</TotalTime>
  <ScaleCrop>false</ScaleCrop>
  <LinksUpToDate>false</LinksUpToDate>
  <CharactersWithSpaces>10009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2023-10-09T16:50:00Z</dcterms:created>
  <dc:creator>cjh2198@sina.com</dc:creator>
  <cp:lastModifiedBy>花仙子</cp:lastModifiedBy>
  <dcterms:modified xsi:type="dcterms:W3CDTF">2023-10-12T07:43:12Z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D7A3FD267B03459E8C829BC8C92EB731</vt:lpwstr>
  </property>
</Properties>
</file>