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kern w:val="0"/>
          <w:sz w:val="24"/>
          <w:szCs w:val="24"/>
        </w:rPr>
      </w:pPr>
      <w:r>
        <w:rPr>
          <w:rFonts w:hint="eastAsia" w:ascii="宋体" w:hAnsi="宋体" w:eastAsia="宋体" w:cs="宋体"/>
          <w:b/>
          <w:kern w:val="0"/>
          <w:sz w:val="24"/>
          <w:szCs w:val="24"/>
        </w:rPr>
        <w:t>采购标的</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34"/>
        <w:gridCol w:w="482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宋体" w:hAnsi="宋体" w:eastAsia="宋体" w:cs="宋体"/>
                <w:b/>
                <w:kern w:val="0"/>
                <w:sz w:val="24"/>
                <w:szCs w:val="24"/>
              </w:rPr>
            </w:pPr>
            <w:r>
              <w:rPr>
                <w:rFonts w:hint="eastAsia" w:ascii="宋体" w:hAnsi="宋体" w:eastAsia="宋体" w:cs="宋体"/>
                <w:b/>
                <w:kern w:val="0"/>
                <w:sz w:val="24"/>
                <w:szCs w:val="24"/>
              </w:rPr>
              <w:t>合同包</w:t>
            </w:r>
          </w:p>
        </w:tc>
        <w:tc>
          <w:tcPr>
            <w:tcW w:w="1134" w:type="dxa"/>
          </w:tcPr>
          <w:p>
            <w:pPr>
              <w:jc w:val="center"/>
              <w:rPr>
                <w:rFonts w:ascii="宋体" w:hAnsi="宋体" w:eastAsia="宋体" w:cs="宋体"/>
                <w:b/>
                <w:kern w:val="0"/>
                <w:sz w:val="24"/>
                <w:szCs w:val="24"/>
              </w:rPr>
            </w:pPr>
            <w:r>
              <w:rPr>
                <w:rFonts w:hint="eastAsia" w:ascii="宋体" w:hAnsi="宋体" w:eastAsia="宋体" w:cs="宋体"/>
                <w:b/>
                <w:kern w:val="0"/>
                <w:sz w:val="24"/>
                <w:szCs w:val="24"/>
              </w:rPr>
              <w:t>品目号</w:t>
            </w:r>
          </w:p>
        </w:tc>
        <w:tc>
          <w:tcPr>
            <w:tcW w:w="4820" w:type="dxa"/>
          </w:tcPr>
          <w:p>
            <w:pPr>
              <w:jc w:val="center"/>
              <w:rPr>
                <w:rFonts w:ascii="宋体" w:hAnsi="宋体" w:eastAsia="宋体" w:cs="宋体"/>
                <w:b/>
                <w:kern w:val="0"/>
                <w:sz w:val="24"/>
                <w:szCs w:val="24"/>
              </w:rPr>
            </w:pPr>
            <w:r>
              <w:rPr>
                <w:rFonts w:hint="eastAsia" w:ascii="宋体" w:hAnsi="宋体" w:eastAsia="宋体" w:cs="宋体"/>
                <w:b/>
                <w:kern w:val="0"/>
                <w:sz w:val="24"/>
                <w:szCs w:val="24"/>
              </w:rPr>
              <w:t>采购标的</w:t>
            </w:r>
          </w:p>
        </w:tc>
        <w:tc>
          <w:tcPr>
            <w:tcW w:w="1071" w:type="dxa"/>
          </w:tcPr>
          <w:p>
            <w:pPr>
              <w:jc w:val="center"/>
              <w:rPr>
                <w:rFonts w:ascii="宋体" w:hAnsi="宋体" w:eastAsia="宋体" w:cs="宋体"/>
                <w:b/>
                <w:kern w:val="0"/>
                <w:sz w:val="24"/>
                <w:szCs w:val="24"/>
              </w:rPr>
            </w:pPr>
            <w:r>
              <w:rPr>
                <w:rFonts w:hint="eastAsia" w:ascii="宋体" w:hAnsi="宋体" w:eastAsia="宋体" w:cs="宋体"/>
                <w:b/>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34" w:type="dxa"/>
          </w:tcPr>
          <w:p>
            <w:pPr>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p>
        </w:tc>
        <w:tc>
          <w:tcPr>
            <w:tcW w:w="4820" w:type="dxa"/>
          </w:tcPr>
          <w:p>
            <w:pPr>
              <w:rPr>
                <w:rFonts w:ascii="宋体" w:hAnsi="宋体" w:eastAsia="宋体" w:cs="宋体"/>
                <w:kern w:val="0"/>
                <w:sz w:val="24"/>
                <w:szCs w:val="24"/>
              </w:rPr>
            </w:pPr>
            <w:r>
              <w:rPr>
                <w:rFonts w:hint="eastAsia" w:ascii="宋体" w:hAnsi="宋体" w:eastAsia="宋体" w:cs="宋体"/>
                <w:kern w:val="0"/>
                <w:sz w:val="24"/>
                <w:szCs w:val="24"/>
              </w:rPr>
              <w:t>叩诊手法虚拟仿真训练与应用实验</w:t>
            </w:r>
          </w:p>
        </w:tc>
        <w:tc>
          <w:tcPr>
            <w:tcW w:w="1071" w:type="dxa"/>
          </w:tcPr>
          <w:p>
            <w:pPr>
              <w:jc w:val="center"/>
              <w:rPr>
                <w:rFonts w:ascii="宋体" w:hAnsi="宋体" w:eastAsia="宋体" w:cs="宋体"/>
                <w:kern w:val="0"/>
                <w:sz w:val="24"/>
                <w:szCs w:val="24"/>
              </w:rPr>
            </w:pPr>
            <w:r>
              <w:rPr>
                <w:rFonts w:hint="eastAsia" w:ascii="宋体" w:hAnsi="宋体" w:eastAsia="宋体" w:cs="宋体"/>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jc w:val="center"/>
              <w:rPr>
                <w:rFonts w:ascii="宋体" w:hAnsi="宋体" w:eastAsia="宋体" w:cs="宋体"/>
                <w:kern w:val="0"/>
                <w:sz w:val="24"/>
                <w:szCs w:val="24"/>
              </w:rPr>
            </w:pPr>
          </w:p>
        </w:tc>
        <w:tc>
          <w:tcPr>
            <w:tcW w:w="1134" w:type="dxa"/>
          </w:tcPr>
          <w:p>
            <w:pPr>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p>
        </w:tc>
        <w:tc>
          <w:tcPr>
            <w:tcW w:w="4820" w:type="dxa"/>
          </w:tcPr>
          <w:p>
            <w:pPr>
              <w:rPr>
                <w:rFonts w:ascii="宋体" w:hAnsi="宋体" w:eastAsia="宋体" w:cs="宋体"/>
                <w:kern w:val="0"/>
                <w:sz w:val="24"/>
                <w:szCs w:val="24"/>
              </w:rPr>
            </w:pPr>
            <w:r>
              <w:rPr>
                <w:rFonts w:hint="eastAsia" w:ascii="宋体" w:hAnsi="宋体" w:eastAsia="宋体" w:cs="宋体"/>
                <w:kern w:val="0"/>
                <w:sz w:val="24"/>
                <w:szCs w:val="24"/>
              </w:rPr>
              <w:t>中西医结合骨伤科学——中和辨治膝骨关节炎虚拟仿真实验</w:t>
            </w:r>
          </w:p>
        </w:tc>
        <w:tc>
          <w:tcPr>
            <w:tcW w:w="1071" w:type="dxa"/>
          </w:tcPr>
          <w:p>
            <w:pPr>
              <w:jc w:val="center"/>
              <w:rPr>
                <w:rFonts w:ascii="宋体" w:hAnsi="宋体" w:eastAsia="宋体" w:cs="宋体"/>
                <w:kern w:val="0"/>
                <w:sz w:val="24"/>
                <w:szCs w:val="24"/>
              </w:rPr>
            </w:pPr>
            <w:r>
              <w:rPr>
                <w:rFonts w:hint="eastAsia" w:ascii="宋体" w:hAnsi="宋体" w:eastAsia="宋体" w:cs="宋体"/>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jc w:val="center"/>
              <w:rPr>
                <w:rFonts w:ascii="宋体" w:hAnsi="宋体" w:eastAsia="宋体" w:cs="宋体"/>
                <w:kern w:val="0"/>
                <w:sz w:val="24"/>
                <w:szCs w:val="24"/>
              </w:rPr>
            </w:pPr>
          </w:p>
        </w:tc>
        <w:tc>
          <w:tcPr>
            <w:tcW w:w="1134" w:type="dxa"/>
          </w:tcPr>
          <w:p>
            <w:pPr>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p>
        </w:tc>
        <w:tc>
          <w:tcPr>
            <w:tcW w:w="4820" w:type="dxa"/>
          </w:tcPr>
          <w:p>
            <w:pPr>
              <w:rPr>
                <w:rFonts w:ascii="宋体" w:hAnsi="宋体" w:eastAsia="宋体" w:cs="宋体"/>
                <w:kern w:val="0"/>
                <w:sz w:val="24"/>
                <w:szCs w:val="24"/>
              </w:rPr>
            </w:pPr>
            <w:r>
              <w:rPr>
                <w:rFonts w:hint="eastAsia" w:ascii="宋体" w:hAnsi="宋体" w:eastAsia="宋体" w:cs="宋体"/>
                <w:kern w:val="0"/>
                <w:sz w:val="24"/>
                <w:szCs w:val="24"/>
              </w:rPr>
              <w:t>组织与胚胎学虚拟仿真实验——组织学形态虚拟仿真实验</w:t>
            </w:r>
          </w:p>
        </w:tc>
        <w:tc>
          <w:tcPr>
            <w:tcW w:w="1071" w:type="dxa"/>
          </w:tcPr>
          <w:p>
            <w:pPr>
              <w:jc w:val="center"/>
              <w:rPr>
                <w:rFonts w:ascii="宋体" w:hAnsi="宋体" w:eastAsia="宋体" w:cs="宋体"/>
                <w:kern w:val="0"/>
                <w:sz w:val="24"/>
                <w:szCs w:val="24"/>
              </w:rPr>
            </w:pPr>
            <w:r>
              <w:rPr>
                <w:rFonts w:hint="eastAsia" w:ascii="宋体" w:hAnsi="宋体" w:eastAsia="宋体" w:cs="宋体"/>
                <w:kern w:val="0"/>
                <w:sz w:val="24"/>
                <w:szCs w:val="24"/>
              </w:rPr>
              <w:t>1套</w:t>
            </w:r>
          </w:p>
        </w:tc>
      </w:tr>
    </w:tbl>
    <w:p/>
    <w:p>
      <w:pPr>
        <w:pStyle w:val="3"/>
        <w:spacing w:line="240" w:lineRule="auto"/>
        <w:jc w:val="center"/>
      </w:pPr>
      <w:r>
        <w:rPr>
          <w:rFonts w:hint="eastAsia"/>
        </w:rPr>
        <w:t>技术服务及要求</w:t>
      </w:r>
    </w:p>
    <w:p>
      <w:pPr>
        <w:rPr>
          <w:rFonts w:ascii="宋体" w:hAnsi="宋体" w:eastAsia="宋体" w:cs="宋体"/>
          <w:kern w:val="0"/>
          <w:sz w:val="24"/>
          <w:szCs w:val="24"/>
        </w:rPr>
      </w:pPr>
      <w:r>
        <w:rPr>
          <w:rFonts w:hint="eastAsia" w:ascii="宋体" w:hAnsi="宋体" w:eastAsia="宋体" w:cs="宋体"/>
          <w:kern w:val="0"/>
          <w:sz w:val="24"/>
          <w:szCs w:val="24"/>
        </w:rPr>
        <w:t>一、项目概况</w:t>
      </w:r>
    </w:p>
    <w:p>
      <w:pPr>
        <w:ind w:firstLine="482" w:firstLineChars="200"/>
        <w:rPr>
          <w:rFonts w:ascii="宋体" w:hAnsi="宋体" w:eastAsia="宋体" w:cs="Times New Roman"/>
          <w:kern w:val="0"/>
          <w:sz w:val="24"/>
          <w:szCs w:val="24"/>
        </w:rPr>
      </w:pPr>
      <w:r>
        <w:rPr>
          <w:rFonts w:hint="eastAsia" w:ascii="宋体" w:hAnsi="宋体" w:eastAsia="宋体" w:cs="宋体"/>
          <w:b/>
          <w:bCs/>
          <w:sz w:val="24"/>
          <w:szCs w:val="24"/>
        </w:rPr>
        <w:t>品目号1-1：</w:t>
      </w:r>
      <w:r>
        <w:rPr>
          <w:rFonts w:hint="eastAsia" w:ascii="宋体" w:hAnsi="宋体" w:eastAsia="宋体" w:cs="Times New Roman"/>
          <w:kern w:val="0"/>
          <w:sz w:val="24"/>
          <w:szCs w:val="24"/>
        </w:rPr>
        <w:t>本项目对应教学中叩诊手法教学课堂中的重要环节，利用虚拟仿真平台，着眼于医学生技能学习中易被忽视或易犯错误的叩诊，对叩诊的各个方面进行系统的梳理，从操作的理论、实践到临床运用，不遗巨细地展现叩诊的相关内容。通过叩诊手法模拟交互、3</w:t>
      </w:r>
      <w:r>
        <w:rPr>
          <w:rFonts w:ascii="宋体" w:hAnsi="宋体" w:eastAsia="宋体" w:cs="Times New Roman"/>
          <w:kern w:val="0"/>
          <w:sz w:val="24"/>
          <w:szCs w:val="24"/>
        </w:rPr>
        <w:t>D</w:t>
      </w:r>
      <w:r>
        <w:rPr>
          <w:rFonts w:hint="eastAsia" w:ascii="宋体" w:hAnsi="宋体" w:eastAsia="宋体" w:cs="Times New Roman"/>
          <w:kern w:val="0"/>
          <w:sz w:val="24"/>
          <w:szCs w:val="24"/>
        </w:rPr>
        <w:t>结构透视、模拟动画等，让学习者掌握叩诊手法中的手法核心技巧。虚拟仿真实验可以让学习者生动形象地了解叩诊手法姿势、着力部位、动作结构及注意事项中的要领，让学习者掌握叩诊临床应用的方法和思维。</w:t>
      </w:r>
    </w:p>
    <w:p>
      <w:pPr>
        <w:ind w:firstLine="420"/>
        <w:rPr>
          <w:rFonts w:ascii="宋体" w:hAnsi="宋体" w:eastAsia="宋体" w:cs="宋体"/>
          <w:kern w:val="0"/>
          <w:sz w:val="24"/>
          <w:szCs w:val="24"/>
        </w:rPr>
      </w:pPr>
      <w:r>
        <w:rPr>
          <w:rFonts w:hint="eastAsia" w:ascii="宋体" w:hAnsi="宋体" w:eastAsia="宋体" w:cs="宋体"/>
          <w:b/>
          <w:bCs/>
          <w:sz w:val="24"/>
          <w:szCs w:val="24"/>
        </w:rPr>
        <w:t>品目号1-2：</w:t>
      </w:r>
      <w:r>
        <w:rPr>
          <w:rFonts w:hint="eastAsia" w:ascii="宋体" w:hAnsi="宋体" w:eastAsia="宋体" w:cs="宋体"/>
          <w:kern w:val="0"/>
          <w:sz w:val="24"/>
          <w:szCs w:val="24"/>
        </w:rPr>
        <w:t>在我国中医、西医结合并存的背景下，为了适应经济、社会、科技和医疗卫生事业发展的需要，需培养的医学人才应该系统掌握中西医基础理论和专业知识，基本具备中西医疾病的诊疗能力并且具有一定的跨专业、跨学科的融通能力，富有整合中西医学两者优势的创新精神。本项目“以学生为中心”的教学理念，涵盖了中西医学针对慢性筋骨病中的膝骨关节炎的基础理论和专业技能，具有形式新颖、方便快捷、互动性强和平台开放兼容的特性，帮助学生理论联系实际，加深对临床膝骨关节炎的认知，培养学生初步的专业实践、临床思维和操作技能。通过三维场景导入、人机交互、病案演变等系列过程从而达到思维过程评估的效果。</w:t>
      </w:r>
    </w:p>
    <w:p>
      <w:pPr>
        <w:ind w:firstLine="420"/>
        <w:rPr>
          <w:rFonts w:ascii="宋体" w:hAnsi="宋体" w:eastAsia="宋体" w:cs="宋体"/>
          <w:kern w:val="0"/>
          <w:sz w:val="24"/>
          <w:szCs w:val="24"/>
        </w:rPr>
      </w:pPr>
      <w:r>
        <w:rPr>
          <w:rFonts w:hint="eastAsia" w:ascii="宋体" w:hAnsi="宋体" w:eastAsia="宋体" w:cs="宋体"/>
          <w:b/>
          <w:bCs/>
          <w:sz w:val="24"/>
          <w:szCs w:val="24"/>
        </w:rPr>
        <w:t>品目号1-3：</w:t>
      </w:r>
      <w:r>
        <w:rPr>
          <w:rFonts w:hint="eastAsia" w:ascii="宋体" w:hAnsi="宋体" w:eastAsia="宋体" w:cs="宋体"/>
          <w:kern w:val="0"/>
          <w:sz w:val="24"/>
          <w:szCs w:val="24"/>
        </w:rPr>
        <w:t>《组织学与胚胎学》是一门主要研究正常机体微细结构的学科，侧重于形态学观察。目前，研究调查发现相对于其他非形态类的实验课，许多医学生认为《组织学与胚胎学》实验课程不易理解和学习。本项目建设基于《组织学与胚胎学》学习的虚拟仿真项目，拟运用3D建模、动画、人机交互等虚拟仿真技术，构建以图片闯关游戏形式、场景沉浸式学习，展现组织学标本的内容，辅以立体化图片、动态化图片，结合各知识点的介绍与延伸，组建成系统的虚拟仿真课程。</w:t>
      </w:r>
    </w:p>
    <w:p>
      <w:pPr>
        <w:numPr>
          <w:ilvl w:val="0"/>
          <w:numId w:val="1"/>
        </w:numPr>
        <w:rPr>
          <w:rStyle w:val="11"/>
          <w:rFonts w:ascii="宋体" w:hAnsi="宋体" w:eastAsia="宋体" w:cs="宋体"/>
          <w:color w:val="000000"/>
          <w:sz w:val="24"/>
          <w:szCs w:val="24"/>
        </w:rPr>
      </w:pPr>
      <w:r>
        <w:rPr>
          <w:rFonts w:ascii="宋体" w:hAnsi="宋体" w:eastAsia="宋体" w:cs="宋体"/>
          <w:color w:val="000000"/>
          <w:sz w:val="24"/>
          <w:szCs w:val="24"/>
        </w:rPr>
        <w:t>技术和服务要求</w:t>
      </w:r>
      <w:bookmarkStart w:id="0" w:name="_GoBack"/>
      <w:bookmarkEnd w:id="0"/>
    </w:p>
    <w:tbl>
      <w:tblPr>
        <w:tblStyle w:val="8"/>
        <w:tblW w:w="8865" w:type="dxa"/>
        <w:jc w:val="center"/>
        <w:tblLayout w:type="fixed"/>
        <w:tblCellMar>
          <w:top w:w="0" w:type="dxa"/>
          <w:left w:w="108" w:type="dxa"/>
          <w:bottom w:w="0" w:type="dxa"/>
          <w:right w:w="108" w:type="dxa"/>
        </w:tblCellMar>
      </w:tblPr>
      <w:tblGrid>
        <w:gridCol w:w="915"/>
        <w:gridCol w:w="887"/>
        <w:gridCol w:w="914"/>
        <w:gridCol w:w="6149"/>
      </w:tblGrid>
      <w:tr>
        <w:tblPrEx>
          <w:tblCellMar>
            <w:top w:w="0" w:type="dxa"/>
            <w:left w:w="108" w:type="dxa"/>
            <w:bottom w:w="0" w:type="dxa"/>
            <w:right w:w="108" w:type="dxa"/>
          </w:tblCellMar>
        </w:tblPrEx>
        <w:trPr>
          <w:trHeight w:val="58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合同包</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品目号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名称</w:t>
            </w:r>
          </w:p>
        </w:tc>
        <w:tc>
          <w:tcPr>
            <w:tcW w:w="6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技术参数</w:t>
            </w:r>
          </w:p>
        </w:tc>
      </w:tr>
      <w:tr>
        <w:tblPrEx>
          <w:tblCellMar>
            <w:top w:w="0" w:type="dxa"/>
            <w:left w:w="108" w:type="dxa"/>
            <w:bottom w:w="0" w:type="dxa"/>
            <w:right w:w="108" w:type="dxa"/>
          </w:tblCellMar>
        </w:tblPrEx>
        <w:trPr>
          <w:trHeight w:val="338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叩诊手法虚拟仿真训练与应用实验</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（一）实验项目技术要求：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相关技术标准需要满足《教育部办公厅关于2017-2020年开展示范性虚拟仿真实验教学项目建设的通知》（教高厅〔2017〕4号）、《国家虚拟仿真实验教学项目共享服务规范（2018版）》和《国家虚拟仿真实验教学项目技术接口规范（2018版）》的要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2．▲本产品是针对福建中医药大学实验课程开发的虚拟仿真实验，可在网上开展叩诊手法虚拟仿真训练及应用虚拟仿真实验。</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3．支持本项目进行省级一流本科课程申报以及国家级虚拟仿真实验教学项目申报。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4．项目采用B/S架构或B/S、C/S混合架构，支持网页界面操作方式，软件首页支持教师、学生、系统管理员使用不同的身份登录软件。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5．具有实验结果自动批改功能，对于按照规范的接口要求进行开发的实验资源，软件在学生完成实验后，软件会自动评判，给出分数和智能批改。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6．为保证系统的交互性和扩展性，实验采用Visual Studio技术开发，场景仿真以Unity3D技术实现，用户可调整任意视角或在场景内漫游观察实验现象。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7．实验界面友好直观，并搭配文字说明，方便用户使用。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8．软件包含理论知识学习中相关文字、图片嵌入展示功能。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9．软件包含实验模型360°旋转观察功能。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10．软件包含三维场景漫游观察控制功能。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11．软件包含实验任务选择、步骤选择、仪器工具选择功能。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（二）实验项目内容介绍：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1．点击“理论知识学习”，可学习叩诊理论知识，包括直接叩诊法和简介叩诊法。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2．点击“试题考核”，软件在题库中随机选择10道选择题，回答完毕后显示答题分数。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点击“叩诊动作练习”，可进入叩诊手法练习与肩胛线叩诊练习，通过人物三维模型动画展示两种叩诊手法的标准动作。实验者可通过观看叩诊法操作动画、分解动作及3D效果图，了解叩诊的原理及操作要点。同时再请实验者点评学生操作视频，实现知识的内化和输出，检测实验者叩诊灵活性及正确性，做到知行合一。</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4．点击“叩诊动作考核”，可进入叩诊手法考核与肩胛线叩诊考核。通过人物三维模型动画展示错误的叩诊动作手法，实验者需要细致观察后，选择动画所展示的动作手法错误地点。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5．★展示的叩诊动作错误包括：</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①　快速肘活动（叩诊）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②　食指中指黏在一起（叩诊）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③　腕关节活动较小（叩诊）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④　掌指关节活动、重力不够（叩诊）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⑤　扳指方向不对，要平行于肋间隙（肩胛线叩诊）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⑥　肩胛线画线错误，叩诊到竖脊肌（肩胛线叩诊）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⑦　肋间隙不对（肩胛线叩诊）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⑧　手僵硬、节律乱（肩胛线叩诊）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6．★点击“叩诊实例应用”，可进入三个板块，分别为：腹部叩诊、心脏叩诊与胸部叩诊。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点击腹部叩诊，显示下级两个模块，分别为：正常人及病人。通过三维动画显示上述叩诊的手法动作、原理及对应相关知识。配合文字介绍及语音解说，帮助实验者快速掌握核心知识。可通过自主选择正常人及病人，分别学习不同区块的知识内容，具体包括：</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①　腹部叩诊、膀胱叩诊、脾脏叩诊（正常人）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②　肝区叩痛、肋脊叫叩痛、移动性浊音、水坑实验（病人）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点击心脏叩诊，显示下级两个模块，分别为：正常人及病人。通过三维动画显示上述叩诊的手法动作、原理及对应相关知识。配合文字介绍及语音解说，帮助实验者快速掌握核心知识。可通过自主选择正常人及病人，分别学习不同区块的知识内容，具体包括：</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①　心尖搏动、心脏叩诊、浊音界范围（正常人）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②　梨形心、球形心、靶形心（病人）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点击胸部叩诊，显示下级两个模块，分别为：正常人及病人。通过三维动画显示上述叩诊的手法动作、原理及对应相关知识。配合文字介绍及语音解说，帮助实验者快速掌握核心知识。可通过自主选择正常人及病人，分别学习不同区块的知识内容，具体包括：</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①　胸部叩诊、移动叩诊、肺上界叩诊、肺下界叩诊、解剖区域（正常人）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②　大叶性肺炎肺实变、肺气肿、右侧胸腔积液、右侧自发性气胸（病人）</w:t>
            </w:r>
          </w:p>
        </w:tc>
      </w:tr>
      <w:tr>
        <w:tblPrEx>
          <w:tblCellMar>
            <w:top w:w="0" w:type="dxa"/>
            <w:left w:w="108" w:type="dxa"/>
            <w:bottom w:w="0" w:type="dxa"/>
            <w:right w:w="108" w:type="dxa"/>
          </w:tblCellMar>
        </w:tblPrEx>
        <w:trPr>
          <w:trHeight w:val="148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914" w:type="dxa"/>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Cs w:val="21"/>
              </w:rPr>
            </w:pPr>
            <w:r>
              <w:rPr>
                <w:rFonts w:hint="eastAsia" w:ascii="宋体" w:hAnsi="宋体" w:eastAsia="宋体" w:cs="宋体"/>
                <w:kern w:val="0"/>
                <w:sz w:val="24"/>
                <w:szCs w:val="24"/>
              </w:rPr>
              <w:t>中西医结合骨伤科学—中和辨治膝骨关节炎虚拟仿真实验</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（一）实验项目技术要求：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相关技术标准需要满足《教育部办公厅关于2017-2020年开展示范性虚拟仿真实验教学项目建设的通知》（教高厅〔2017〕4号）、《国家虚拟仿真实验教学项目共享服务规范（2018版）》和《国家虚拟仿真实验教学项目技术接口规范（2018版）》的要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2．▲本产品是针对福建中医药大学实验课程开发的虚拟仿真实验，可在网上开展中和</w:t>
            </w:r>
            <w:r>
              <w:rPr>
                <w:rFonts w:hint="eastAsia" w:ascii="宋体" w:hAnsi="宋体" w:eastAsia="宋体" w:cs="宋体"/>
                <w:kern w:val="0"/>
                <w:sz w:val="24"/>
                <w:szCs w:val="24"/>
              </w:rPr>
              <w:t>辨治</w:t>
            </w:r>
            <w:r>
              <w:rPr>
                <w:rFonts w:hint="eastAsia" w:ascii="宋体" w:hAnsi="宋体" w:eastAsia="宋体" w:cs="宋体"/>
                <w:color w:val="000000"/>
                <w:kern w:val="0"/>
                <w:szCs w:val="21"/>
                <w:lang w:bidi="ar"/>
              </w:rPr>
              <w:t>膝骨关节炎虚拟仿真实验。</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3．支持本项目进行省级一流本科课程申报以及国家级虚拟仿真实验教学项目申报。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4．项目采用B/S架构或B/S、C/S混合架构，支持网页界面操作方式，软件首页支持教师、学生、系统管理员使用不同的身份登录软件。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5．具有实验结果自动批改功能，对于按照规范的接口要求进行开发的实验资源，软件在学生完成实验后，软件会自动评判，给出分数和智能批改。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6．为保证系统的交互性和扩展性，实验采用Visual Studio技术开发，场景仿真以Unity3D技术实现，用户可调整任意视角或在场景内漫游观察实验现象。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7．实验界面友好直观，并搭配文字说明，方便用户使用。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8．软件包含理论知识学习中相关文字、图片嵌入展示功能。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9．软件包含实验模型360°旋转观察功能。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10．软件包含三维场景漫游观察控制功能。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11．软件包含实验任务选择、步骤选择、仪器工具选择功能。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（二）实验项目内容介绍：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1．点击“基础知识学习”，可进入学习膝关节三维模型解剖结构及相关体查实验、运动分析等，具体包括：“膝关节解剖结构”、“膝关节体查试验”及“膝关节运动分析”。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2．★膝关节解剖结构-膝关节骨性结构：通过三维模型及文字介绍，了解膝关节骨性结构构造。可点击“模型查看”，观察胫骨上端、胫骨下端及髌骨的三维模型，进行学习了解。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3．★膝关节解剖结构-膝关节囊及滑膜结构：通过三维模型及文字介绍，了解膝关节骨囊及滑膜结构构造。可点击“模型查看”，观察膝关节囊、膝关节滑膜的三维模型，进行学习了解。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4．★膝关节解剖结构-膝关韧带及半月板结构：通过三维模型及文字介绍，了解膝关节韧带及半月板结构构造。可点击“模型查看”，观察膝关节韧带、膝关节半月板的三维模型，进行学习了解。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5．★点击“膝关节体查试验”，可通过文字及三维动画学习体验试验操作标准步骤及知识原理。具体包括：浮髌试验、抽屉试验、膝关节旋转试验及研磨试验。</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6．★点击“膝关节运动分析”，可通过三维动画学习运动时，膝关节的结构变化。</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7．★点击“病例分析”：进入病人基础情况概览。左侧显示该病人的三维模型，右侧通过文字展示该病人的基本信息，姓名、年龄:、体重、身高和患者自述。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8．病例情况：选择病例后，三维动画展示该病人的症状（日常生活）。</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9．问诊过程：进入门诊室场景，场景包含医生及上述病人。首先对病人进行问诊，学生可选择右上角的对话框对病人进行病史的了解。通过病人与医生的对话，基础判断病人的病情。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专科检查与辅助检查：通过鼠标点击，触发交互：病人伸出舌苔，观察病人舌苔的颜色。通过鼠标点击，触发交互：按压病人左膝内侧、研磨试验、浮髌试验。交互完毕后文字显示试验结果。最后展示病人的X线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11．判断疾病：根据病人的问诊回答、舌苔状态和颜色、查体各试验结果、X线片的图片，综合判断该病人所患的疾病。确诊为膝骨关节炎后，展示该疾病的概述、定义等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12．病案分析：对其病变的位置、部位进行三维模型展示。可直观地了解膝骨关节炎的病例变化位置，对比与健康结构的区别。</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证型拓展：展示关节软骨的病变，通过交互，可进入微观结构。通过三维动画的形式展示微观结构下健康关节软骨与退变关节软骨的变化与区别；展示关节功能的病变，通过交互，可进入微观结构。通过三维动画的形式展示微观结构下关节功能的变化与区别。展示膝骨关节的承载受力，标出正常受力方向与膝骨关节炎病人的膝骨关节受力方向，再通过交互深入教学，通过三维动画展示正常人步行与膝骨关节炎病人步行的区别。展示膝骨关节的炎症反应，通过交互，可进入微观结构，通过三维动画的形式展示滑膜炎症反应引发软骨退变、炎症因子介导软骨退变的过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14．治疗手段：以三维动画形式进行展示软骨下骨重塑、药物治疗、中医方向的治疗方案等。</w:t>
            </w:r>
          </w:p>
        </w:tc>
      </w:tr>
      <w:tr>
        <w:tblPrEx>
          <w:tblCellMar>
            <w:top w:w="0" w:type="dxa"/>
            <w:left w:w="108" w:type="dxa"/>
            <w:bottom w:w="0" w:type="dxa"/>
            <w:right w:w="108" w:type="dxa"/>
          </w:tblCellMar>
        </w:tblPrEx>
        <w:trPr>
          <w:trHeight w:val="633"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组织与胚胎学虚拟仿真实验</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（一）实验项目技术要求：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相关技术标准需要满足《教育部办公厅关于2017-2020年开展示范性虚拟仿真实验教学项目建设的通知》（教高厅〔2017〕4号）、《国家虚拟仿真实验教学项目共享服务规范（2018版）》和《国家虚拟仿真实验教学项目技术接口规范（2018版）》的要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2．▲本产品是针对福建中医药大学实验课程开发的虚拟仿真实验，可在网上开展组织与胚胎学虚拟仿真实验。</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3．支持本项目进行省级一流本科课程申报以及国家级虚拟仿真实验教学项目申报。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4．项目采用B/S架构或B/S、C/S混合架构，支持网页界面操作方式，软件首页支持教师、学生、系统管理员使用不同的身份登录软件。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5．具有实验结果自动批改功能，对于按照规范的接口要求进行开发的实验资源，软件在学生完成实验后，软件会自动评判，给出分数和智能批改。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6．为保证系统的交互性和扩展性，实验采用Visual Studio技术开发，场景仿真以Unity3D技术实现，用户可调整任意视角或在场景内漫游观察实验现象。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7．实验界面友好直观，并搭配文字说明，方便用户使用。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8．软件包含理论知识学习中相关文字、图片嵌入展示功能。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9．软件包含实验模型360°旋转观察功能。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10．软件包含三维场景漫游观察控制功能。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11．软件包含实验任务选择、步骤选择、仪器工具选择功能。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（二）实验项目内容介绍：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1．点击“理论知识学习”，可学习组织与胚胎学理论知识，包括直接组织与胚胎学的研究内容及意义、组织的基本构成等。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2．点击“试题考核”，软件在题库中随机选择10道选择题，回答完毕后显示答题分数。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3．点击“仿真实验”，可正式开始虚拟仿真实验课程模拟，具体包括：文化名人馆、生活体验馆、组织设计馆、城市之旅四个模块。</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4．★文化名人馆：进入文化名人馆仿真体验，以连连看游戏模式结合相关人物知识，通过鼠标互动将名人与其主要事迹进行连接。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①　名人及其主要事迹连线包括：</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②　胡克——细胞</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③　列文虎克——精子、微生物</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④　高尔基——神经元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⑤　卡哈尔——神经元（诺贝尔奖）</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⑥　科诺尔、卢斯卡——电镜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⑦　亚里士多德——胚胎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⑧　Spemann——诱导学说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⑨　伽利略——望远镜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5．★生活体验馆：进入生活体验馆仿真体验，以“切西瓜”的互动模式，通过鼠标对各种模具进行切割，与实际图片对照，使学生易于理解平面和立体的关系。</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6．★组织设计馆：以三维房屋模型为教学蓝本进行切入，进入基本组织设计馆，介绍四大基本组织。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7．墙壁是上皮组织，柱子是结缔组织，窗帘和门等是肌组织，电路是神经组织，一一展开，分类和分布对应介绍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8．以格子式呈现，出现上皮组织后，再跳出不同分类（被覆上皮、腺上皮、特殊上皮），选择闯关。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城市之旅：以各建筑群（（人体系统）为探索之旅--配套文本解析；建立各系统、各器官的组织图片库（每个器官提供人体整体观图片1张，以及20X的6张图片（可以是人标本或动物标本）；打造三维效果图（各器官制作一个）；打造人体的立体模式图，能够进行还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①　城市之旅-消化系统：建立餐馆3D模型，以虚拟人物在餐厅吃饭，面对美食，消化系统打开为镜头进行切入。三维模型展示口腔、舌、咽、食管、胃、小肠、大肠、阑尾、.肝、唾液腺、胰腺的消化系统结构与分布。三维立体展示:食管、胃、小肠、肝、胰的消化系统结构与分布。三维动画展示机械消化和化学消化。</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②　城市之旅-呼吸系统：建立公园3D模型，以虚拟人物在公园里散步，逐渐展现出呼吸系统解剖学立体面。三维模型展示鼻、咽、喉、气管和肺的呼吸系统结构与分布。三维立体展示：气管管道、肺部结构及气-血屏障。三维动画展示气管运输气体、阻挡异物；肺管道收缩，结构变化及气-血屏障功能呈现、尘细胞活动动画</w:t>
            </w:r>
          </w:p>
        </w:tc>
      </w:tr>
    </w:tbl>
    <w:p>
      <w:pPr>
        <w:rPr>
          <w:rStyle w:val="11"/>
          <w:rFonts w:ascii="宋体" w:hAnsi="宋体" w:eastAsia="宋体" w:cs="宋体"/>
          <w:color w:val="000000"/>
          <w:sz w:val="24"/>
          <w:szCs w:val="2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EBECE"/>
    <w:multiLevelType w:val="singleLevel"/>
    <w:tmpl w:val="A4AEBECE"/>
    <w:lvl w:ilvl="0" w:tentative="0">
      <w:start w:val="2"/>
      <w:numFmt w:val="chineseCounting"/>
      <w:suff w:val="nothing"/>
      <w:lvlText w:val="%1、"/>
      <w:lvlJc w:val="left"/>
      <w:rPr>
        <w:rFonts w:hint="eastAsia"/>
      </w:rPr>
    </w:lvl>
  </w:abstractNum>
  <w:num w:numId="1">
    <w:abstractNumId w:val="0"/>
  </w:num>
</w:numbering>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