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2D628">
      <w:pPr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福建中医药大学2026年信息化系统维保</w:t>
      </w:r>
      <w:r>
        <w:rPr>
          <w:rFonts w:hint="eastAsia" w:ascii="仿宋" w:hAnsi="仿宋" w:eastAsia="仿宋" w:cs="仿宋"/>
          <w:b/>
          <w:sz w:val="30"/>
          <w:szCs w:val="30"/>
        </w:rPr>
        <w:t>服务</w:t>
      </w:r>
    </w:p>
    <w:p w14:paraId="76A6B8FD">
      <w:pPr>
        <w:spacing w:line="360" w:lineRule="auto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采购方案</w:t>
      </w:r>
    </w:p>
    <w:p w14:paraId="03FCE746">
      <w:pPr>
        <w:spacing w:line="360" w:lineRule="auto"/>
        <w:ind w:firstLine="482" w:firstLineChars="200"/>
        <w:jc w:val="center"/>
        <w:outlineLvl w:val="0"/>
        <w:rPr>
          <w:rFonts w:ascii="仿宋" w:hAnsi="仿宋" w:eastAsia="仿宋" w:cs="仿宋"/>
          <w:b/>
          <w:sz w:val="24"/>
        </w:rPr>
      </w:pPr>
      <w:r>
        <w:rPr>
          <w:rFonts w:ascii="仿宋" w:hAnsi="仿宋" w:eastAsia="仿宋" w:cs="仿宋"/>
          <w:b/>
          <w:sz w:val="24"/>
        </w:rPr>
        <w:t xml:space="preserve">                                 </w:t>
      </w:r>
    </w:p>
    <w:p w14:paraId="5805186C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outlineLvl w:val="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项目概况</w:t>
      </w:r>
      <w:r>
        <w:rPr>
          <w:rFonts w:ascii="仿宋" w:hAnsi="仿宋" w:eastAsia="仿宋" w:cs="仿宋"/>
          <w:b/>
          <w:sz w:val="24"/>
        </w:rPr>
        <w:t xml:space="preserve"> </w:t>
      </w:r>
    </w:p>
    <w:p w14:paraId="43BD4FF6">
      <w:pPr>
        <w:pStyle w:val="7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福建中医药大学</w:t>
      </w:r>
      <w:r>
        <w:rPr>
          <w:rFonts w:hint="eastAsia" w:ascii="仿宋" w:hAnsi="仿宋" w:eastAsia="仿宋" w:cs="仿宋"/>
          <w:lang w:val="en-US" w:eastAsia="zh-CN"/>
        </w:rPr>
        <w:t>信息化系统</w:t>
      </w:r>
      <w:r>
        <w:rPr>
          <w:rFonts w:hint="eastAsia" w:ascii="仿宋" w:hAnsi="仿宋" w:eastAsia="仿宋" w:cs="仿宋"/>
        </w:rPr>
        <w:t>维保服务</w:t>
      </w:r>
      <w:r>
        <w:rPr>
          <w:rFonts w:hint="eastAsia" w:ascii="仿宋" w:hAnsi="仿宋" w:eastAsia="仿宋" w:cs="仿宋"/>
          <w:lang w:val="en-US" w:eastAsia="zh-CN"/>
        </w:rPr>
        <w:t>采购</w:t>
      </w:r>
      <w:r>
        <w:rPr>
          <w:rFonts w:hint="eastAsia" w:ascii="仿宋" w:hAnsi="仿宋" w:eastAsia="仿宋" w:cs="仿宋"/>
        </w:rPr>
        <w:t>项目旨在通过</w:t>
      </w:r>
      <w:r>
        <w:rPr>
          <w:rFonts w:hint="eastAsia" w:ascii="仿宋" w:hAnsi="仿宋" w:eastAsia="仿宋" w:cs="仿宋"/>
          <w:lang w:val="en-US" w:eastAsia="zh-CN"/>
        </w:rPr>
        <w:t>采购延保</w:t>
      </w:r>
      <w:r>
        <w:rPr>
          <w:rFonts w:hint="eastAsia" w:ascii="仿宋" w:hAnsi="仿宋" w:eastAsia="仿宋" w:cs="仿宋"/>
        </w:rPr>
        <w:t>服务，确保各类</w:t>
      </w:r>
      <w:r>
        <w:rPr>
          <w:rFonts w:hint="eastAsia" w:ascii="仿宋" w:hAnsi="仿宋" w:eastAsia="仿宋" w:cs="仿宋"/>
          <w:lang w:val="en-US" w:eastAsia="zh-CN"/>
        </w:rPr>
        <w:t>设备稳定、</w:t>
      </w:r>
      <w:r>
        <w:rPr>
          <w:rFonts w:hint="eastAsia" w:ascii="仿宋" w:hAnsi="仿宋" w:eastAsia="仿宋" w:cs="仿宋"/>
        </w:rPr>
        <w:t>持续发挥效能，保障学校</w:t>
      </w:r>
      <w:r>
        <w:rPr>
          <w:rFonts w:hint="eastAsia" w:ascii="仿宋" w:hAnsi="仿宋" w:eastAsia="仿宋" w:cs="仿宋"/>
          <w:lang w:val="en-US" w:eastAsia="zh-CN"/>
        </w:rPr>
        <w:t>智慧校园系统</w:t>
      </w:r>
      <w:r>
        <w:rPr>
          <w:rFonts w:hint="eastAsia" w:ascii="仿宋" w:hAnsi="仿宋" w:eastAsia="仿宋" w:cs="仿宋"/>
        </w:rPr>
        <w:t>稳定、安全、高效运行。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 w14:paraId="0E6F9B3A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outlineLvl w:val="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维保</w:t>
      </w:r>
      <w:r>
        <w:rPr>
          <w:rFonts w:hint="eastAsia" w:ascii="仿宋" w:hAnsi="仿宋" w:eastAsia="仿宋" w:cs="仿宋"/>
          <w:b/>
          <w:sz w:val="24"/>
        </w:rPr>
        <w:t>服务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内容</w:t>
      </w:r>
    </w:p>
    <w:tbl>
      <w:tblPr>
        <w:tblStyle w:val="8"/>
        <w:tblW w:w="8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080"/>
        <w:gridCol w:w="1070"/>
        <w:gridCol w:w="3237"/>
      </w:tblGrid>
      <w:tr w14:paraId="5DAA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82" w:type="dxa"/>
            <w:vAlign w:val="center"/>
          </w:tcPr>
          <w:p w14:paraId="78C194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80" w:type="dxa"/>
            <w:vAlign w:val="center"/>
          </w:tcPr>
          <w:p w14:paraId="589E73A4">
            <w:pPr>
              <w:spacing w:line="360" w:lineRule="auto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服务品目名称</w:t>
            </w:r>
          </w:p>
        </w:tc>
        <w:tc>
          <w:tcPr>
            <w:tcW w:w="1070" w:type="dxa"/>
            <w:vAlign w:val="center"/>
          </w:tcPr>
          <w:p w14:paraId="71B83501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服务系统数量</w:t>
            </w:r>
          </w:p>
        </w:tc>
        <w:tc>
          <w:tcPr>
            <w:tcW w:w="3237" w:type="dxa"/>
            <w:vAlign w:val="center"/>
          </w:tcPr>
          <w:p w14:paraId="320A547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维保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服务内容</w:t>
            </w:r>
          </w:p>
        </w:tc>
      </w:tr>
      <w:tr w14:paraId="6691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82" w:type="dxa"/>
            <w:vAlign w:val="center"/>
          </w:tcPr>
          <w:p w14:paraId="5FADAC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（一）</w:t>
            </w:r>
          </w:p>
        </w:tc>
        <w:tc>
          <w:tcPr>
            <w:tcW w:w="7387" w:type="dxa"/>
            <w:gridSpan w:val="3"/>
            <w:vAlign w:val="center"/>
          </w:tcPr>
          <w:p w14:paraId="73CD3A9E"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迪讯产品维保服务</w:t>
            </w:r>
          </w:p>
        </w:tc>
      </w:tr>
      <w:tr w14:paraId="3829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7861A80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77C7AC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智能DHCP系统（CNS-APP200）</w:t>
            </w:r>
          </w:p>
          <w:p w14:paraId="7C5B2FC1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443D4D6D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47D396CA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维保期内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电话技术支持、远程技术支持、硬件维修/替换、现场巡检服务、系统功能介质远程升级服务；</w:t>
            </w:r>
          </w:p>
        </w:tc>
      </w:tr>
      <w:tr w14:paraId="487C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58285DE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69671D6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智能DNS系统（CNS-APP200）</w:t>
            </w:r>
          </w:p>
          <w:p w14:paraId="071FDBDF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6D3151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4D2B0F2A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维保期内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电话技术支持、远程技术支持、硬件维修/替换、现场巡检服务、系统功能介质远程升级服务；</w:t>
            </w:r>
          </w:p>
        </w:tc>
      </w:tr>
      <w:tr w14:paraId="7EFA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3328ABA2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（二）</w:t>
            </w:r>
          </w:p>
        </w:tc>
        <w:tc>
          <w:tcPr>
            <w:tcW w:w="7387" w:type="dxa"/>
            <w:gridSpan w:val="3"/>
            <w:shd w:val="clear" w:color="auto" w:fill="FFFFFF"/>
            <w:vAlign w:val="center"/>
          </w:tcPr>
          <w:p w14:paraId="5E7B635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美创科技产品维保服务</w:t>
            </w:r>
          </w:p>
        </w:tc>
      </w:tr>
      <w:tr w14:paraId="38E4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74AB4DD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500AD9A8">
            <w:pPr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数据库防火墙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MC-DF_EE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)</w:t>
            </w:r>
          </w:p>
          <w:p w14:paraId="1965DBD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30E4E464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4268F139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提供7×24小时电话支持和上门质保维护服务；提供软件补丁修复服务；产品使用咨询服务，并安排两次质量回访和巡检服务；故障硬件、配件维保服务；</w:t>
            </w:r>
          </w:p>
        </w:tc>
      </w:tr>
      <w:tr w14:paraId="7989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0415CC3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3925C4F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数据库防水坝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MC-DW_SE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)</w:t>
            </w:r>
          </w:p>
          <w:p w14:paraId="6EAEC9B5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BD38D3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4A1665D0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提供7×24小时电话支持和上门质保维护服务；提供软件补丁修复服务；产品使用咨询服务，并安排两次质量回访和巡检服务；故障硬件、配件维保服务；</w:t>
            </w:r>
          </w:p>
        </w:tc>
      </w:tr>
      <w:tr w14:paraId="14C4C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1F033E1F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（三）</w:t>
            </w:r>
          </w:p>
        </w:tc>
        <w:tc>
          <w:tcPr>
            <w:tcW w:w="7387" w:type="dxa"/>
            <w:gridSpan w:val="3"/>
            <w:shd w:val="clear" w:color="auto" w:fill="FFFFFF"/>
            <w:vAlign w:val="center"/>
          </w:tcPr>
          <w:p w14:paraId="064444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绿盟科技产品维保服务</w:t>
            </w:r>
          </w:p>
        </w:tc>
      </w:tr>
      <w:tr w14:paraId="34EB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320FF43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4334A549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绿盟网络入侵检测系统V5.6（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NIDSNX3-HD4200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）维保服务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56E2B5A7"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7DF7492E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提供产品系统升级授权；远程支持服务；产品保修服务；硬件故障上门支持；引擎自带功能的升级授权；特征库升级；</w:t>
            </w:r>
          </w:p>
        </w:tc>
      </w:tr>
      <w:tr w14:paraId="4FBD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3ACEF2A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6B3EF16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绿盟WEB应用防护系统 V6.0（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WAFNX5-P1600A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）维保服务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E9E4B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1B55E601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提供设备维保证书、硬件维修、硬件故障上门支持及配置策略咨询服务，为相应产品提供软件更新、产品bug 反馈、测试、定位和解决；</w:t>
            </w:r>
          </w:p>
        </w:tc>
      </w:tr>
      <w:tr w14:paraId="11C3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24D388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3587E1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绿盟WEB应用防护系统 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WAFNX5-HD4000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）维保服务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45F0ED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401CF0A0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提供硬件产品维保，包含产品系统升级授权、产品保修、特征库升级、远程支持服务、硬件故障上门支持；</w:t>
            </w:r>
          </w:p>
        </w:tc>
      </w:tr>
      <w:tr w14:paraId="5602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61EF7C3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（四）</w:t>
            </w:r>
          </w:p>
        </w:tc>
        <w:tc>
          <w:tcPr>
            <w:tcW w:w="7387" w:type="dxa"/>
            <w:gridSpan w:val="3"/>
            <w:shd w:val="clear" w:color="auto" w:fill="FFFFFF"/>
            <w:vAlign w:val="center"/>
          </w:tcPr>
          <w:p w14:paraId="21C481DD">
            <w:pPr>
              <w:pStyle w:val="1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福建金瑞信息产品维保服务</w:t>
            </w:r>
          </w:p>
        </w:tc>
      </w:tr>
      <w:tr w14:paraId="578A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5EC00A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5D4207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网络安全合规管理平台</w:t>
            </w:r>
          </w:p>
          <w:p w14:paraId="5A651BA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(小西牛V3.0）</w:t>
            </w:r>
          </w:p>
          <w:p w14:paraId="6F5A535C"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40B5322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05161477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产品系统升级授权、产品保修、特征库升级、远程支持服务、硬件故障上门支持；</w:t>
            </w:r>
          </w:p>
        </w:tc>
      </w:tr>
      <w:tr w14:paraId="5667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227FCC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（五）</w:t>
            </w:r>
          </w:p>
        </w:tc>
        <w:tc>
          <w:tcPr>
            <w:tcW w:w="7387" w:type="dxa"/>
            <w:gridSpan w:val="3"/>
            <w:shd w:val="clear" w:color="auto" w:fill="FFFFFF"/>
            <w:vAlign w:val="center"/>
          </w:tcPr>
          <w:p w14:paraId="7CF344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默安产品维保服务</w:t>
            </w:r>
          </w:p>
        </w:tc>
      </w:tr>
      <w:tr w14:paraId="0CA8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82" w:type="dxa"/>
            <w:shd w:val="clear" w:color="auto" w:fill="FFFFFF"/>
            <w:vAlign w:val="center"/>
          </w:tcPr>
          <w:p w14:paraId="69438A0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21BABE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默安幻阵系统(蜜罐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HP-8008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) 维保服务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1C78DAE4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3237" w:type="dxa"/>
            <w:shd w:val="clear" w:color="auto" w:fill="FFFFFF"/>
            <w:vAlign w:val="center"/>
          </w:tcPr>
          <w:p w14:paraId="546B19DD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提供7*24小时产品问题咨询和远程技术支持；提供2次远程巡检服务；提供设备故障保修服务；提供软件版本升级服务；</w:t>
            </w:r>
          </w:p>
        </w:tc>
      </w:tr>
    </w:tbl>
    <w:p w14:paraId="6B855B46">
      <w:pPr>
        <w:pStyle w:val="7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lang w:val="en-US" w:eastAsia="zh-CN"/>
        </w:rPr>
        <w:t>提供上述系统自合同签订之日起至2026年12月31日的系统升级授权、软硬件（含配件）维保和保修服务。</w:t>
      </w:r>
    </w:p>
    <w:p w14:paraId="02AE807B">
      <w:pPr>
        <w:pStyle w:val="7"/>
        <w:spacing w:before="0" w:beforeAutospacing="0" w:after="0" w:afterAutospacing="0" w:line="360" w:lineRule="auto"/>
        <w:ind w:firstLine="480" w:firstLineChars="20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★</w:t>
      </w:r>
      <w:r>
        <w:rPr>
          <w:rFonts w:hint="eastAsia" w:ascii="仿宋" w:hAnsi="仿宋" w:eastAsia="仿宋" w:cs="仿宋"/>
          <w:b/>
          <w:bCs/>
          <w:lang w:val="en-US" w:eastAsia="zh-CN"/>
        </w:rPr>
        <w:t>系统及特征码升级授权须由原厂提供，系统管理页面可显示、查询。</w:t>
      </w:r>
    </w:p>
    <w:p w14:paraId="513EBE44">
      <w:pPr>
        <w:pStyle w:val="7"/>
        <w:spacing w:before="0" w:beforeAutospacing="0" w:after="0" w:afterAutospacing="0" w:line="360" w:lineRule="auto"/>
        <w:ind w:firstLine="482" w:firstLineChars="200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★服务期间涉及设备或配件更换的，需提供原厂产品。</w:t>
      </w:r>
    </w:p>
    <w:p w14:paraId="2DF35B2F">
      <w:pPr>
        <w:pStyle w:val="7"/>
        <w:spacing w:before="0" w:beforeAutospacing="0" w:after="0" w:afterAutospacing="0" w:line="360" w:lineRule="auto"/>
        <w:ind w:firstLine="482" w:firstLineChars="200"/>
        <w:rPr>
          <w:rFonts w:hint="eastAsia" w:ascii="仿宋" w:hAnsi="仿宋" w:eastAsia="仿宋" w:cs="仿宋"/>
          <w:b/>
          <w:bCs/>
          <w:lang w:val="en-US" w:eastAsia="zh-CN"/>
        </w:rPr>
      </w:pPr>
    </w:p>
    <w:p w14:paraId="36B0F3EC"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outlineLvl w:val="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商务要求</w:t>
      </w:r>
    </w:p>
    <w:p w14:paraId="2D8C7985">
      <w:pPr>
        <w:pStyle w:val="2"/>
        <w:numPr>
          <w:ilvl w:val="0"/>
          <w:numId w:val="2"/>
        </w:numPr>
        <w:ind w:left="0" w:leftChars="0" w:firstLine="480" w:firstLineChars="200"/>
        <w:rPr>
          <w:rFonts w:hint="eastAsia" w:ascii="仿宋" w:hAnsi="仿宋" w:eastAsia="仿宋" w:cs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合同签订后10个工作日内将原厂相关授权部署到对应设备，以系统管理页面可查询为准，被授权对象须是“福建中医药大学”。</w:t>
      </w:r>
    </w:p>
    <w:p w14:paraId="6DAD7C71">
      <w:pPr>
        <w:pStyle w:val="2"/>
        <w:numPr>
          <w:ilvl w:val="0"/>
          <w:numId w:val="2"/>
        </w:numPr>
        <w:ind w:left="0" w:leftChars="0" w:firstLine="480" w:firstLineChars="200"/>
        <w:rPr>
          <w:rFonts w:hint="default" w:ascii="仿宋" w:hAnsi="仿宋" w:eastAsia="仿宋" w:cs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项目付款分为两个阶段：</w:t>
      </w:r>
    </w:p>
    <w:p w14:paraId="3E11007A">
      <w:pPr>
        <w:pStyle w:val="2"/>
        <w:numPr>
          <w:ilvl w:val="0"/>
          <w:numId w:val="0"/>
        </w:numPr>
        <w:ind w:leftChars="200" w:firstLine="480" w:firstLineChars="200"/>
        <w:rPr>
          <w:rFonts w:hint="eastAsia" w:ascii="仿宋" w:hAnsi="仿宋" w:eastAsia="仿宋" w:cs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2026年6月30日前，中标人出具项目中期总结报告，持合同额50%发票报采购人转账支付相应款项；</w:t>
      </w:r>
    </w:p>
    <w:p w14:paraId="154295CC">
      <w:pPr>
        <w:pStyle w:val="2"/>
        <w:numPr>
          <w:ilvl w:val="0"/>
          <w:numId w:val="0"/>
        </w:numPr>
        <w:ind w:leftChars="200" w:firstLine="480" w:firstLineChars="200"/>
        <w:rPr>
          <w:rFonts w:hint="eastAsia" w:ascii="仿宋" w:hAnsi="仿宋" w:eastAsia="仿宋" w:cs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2027年1月20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日前，中标人出具项目总结材料，经采购人验收通过后，持合同额50%发票报采购人转账支付合同剩余款项；</w:t>
      </w:r>
    </w:p>
    <w:p w14:paraId="308D9372">
      <w:pPr>
        <w:pStyle w:val="2"/>
        <w:numPr>
          <w:ilvl w:val="0"/>
          <w:numId w:val="0"/>
        </w:numPr>
        <w:ind w:leftChars="200"/>
        <w:rPr>
          <w:rFonts w:hint="default" w:ascii="仿宋" w:hAnsi="仿宋" w:eastAsia="仿宋" w:cs="仿宋"/>
          <w:b/>
          <w:sz w:val="24"/>
          <w:lang w:val="en-US" w:eastAsia="zh-CN"/>
        </w:rPr>
      </w:pPr>
    </w:p>
    <w:p w14:paraId="145F7B7A">
      <w:pPr>
        <w:pStyle w:val="7"/>
        <w:spacing w:before="0" w:beforeAutospacing="0" w:after="0" w:afterAutospacing="0" w:line="360" w:lineRule="auto"/>
        <w:ind w:firstLine="482" w:firstLineChars="200"/>
        <w:rPr>
          <w:rFonts w:hint="default" w:ascii="仿宋" w:hAnsi="仿宋" w:eastAsia="仿宋" w:cs="仿宋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4F0AE2"/>
    <w:multiLevelType w:val="singleLevel"/>
    <w:tmpl w:val="E04F0AE2"/>
    <w:lvl w:ilvl="0" w:tentative="0">
      <w:start w:val="1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12B9C3D5"/>
    <w:multiLevelType w:val="singleLevel"/>
    <w:tmpl w:val="12B9C3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ZmMWU1ZjE5NjYxZDk0NTgyOWM1ZGVkYjUyYmYifQ=="/>
  </w:docVars>
  <w:rsids>
    <w:rsidRoot w:val="2CAC2729"/>
    <w:rsid w:val="000142E4"/>
    <w:rsid w:val="000C7BC9"/>
    <w:rsid w:val="00204AAD"/>
    <w:rsid w:val="002C058D"/>
    <w:rsid w:val="002E1642"/>
    <w:rsid w:val="00352447"/>
    <w:rsid w:val="0037708B"/>
    <w:rsid w:val="004413FD"/>
    <w:rsid w:val="00463159"/>
    <w:rsid w:val="00513CA2"/>
    <w:rsid w:val="00547EC9"/>
    <w:rsid w:val="005D5C3C"/>
    <w:rsid w:val="00632C2D"/>
    <w:rsid w:val="00735F42"/>
    <w:rsid w:val="007435BC"/>
    <w:rsid w:val="00770D77"/>
    <w:rsid w:val="0082793D"/>
    <w:rsid w:val="00896088"/>
    <w:rsid w:val="008973A6"/>
    <w:rsid w:val="008C284D"/>
    <w:rsid w:val="009A58C9"/>
    <w:rsid w:val="00A45A8F"/>
    <w:rsid w:val="00AA0133"/>
    <w:rsid w:val="00AB49F7"/>
    <w:rsid w:val="00AB6D55"/>
    <w:rsid w:val="00C2544A"/>
    <w:rsid w:val="00C3577C"/>
    <w:rsid w:val="00C36B06"/>
    <w:rsid w:val="00C40674"/>
    <w:rsid w:val="00CB0D63"/>
    <w:rsid w:val="00D016BD"/>
    <w:rsid w:val="00D45103"/>
    <w:rsid w:val="00DE6AE7"/>
    <w:rsid w:val="00DF332D"/>
    <w:rsid w:val="00EC34E4"/>
    <w:rsid w:val="00F42ABE"/>
    <w:rsid w:val="01294CE5"/>
    <w:rsid w:val="02F22C85"/>
    <w:rsid w:val="036D7252"/>
    <w:rsid w:val="03FA74D7"/>
    <w:rsid w:val="07B6075F"/>
    <w:rsid w:val="08C25C94"/>
    <w:rsid w:val="094D22D2"/>
    <w:rsid w:val="09832FB0"/>
    <w:rsid w:val="0CA4187D"/>
    <w:rsid w:val="0E8033D3"/>
    <w:rsid w:val="0FE20680"/>
    <w:rsid w:val="0FF64437"/>
    <w:rsid w:val="10244AC1"/>
    <w:rsid w:val="133D454B"/>
    <w:rsid w:val="13403A9F"/>
    <w:rsid w:val="14293155"/>
    <w:rsid w:val="184C7999"/>
    <w:rsid w:val="18A60DE5"/>
    <w:rsid w:val="192A160B"/>
    <w:rsid w:val="1A547BAF"/>
    <w:rsid w:val="1C0B7EEA"/>
    <w:rsid w:val="1C3C6FC3"/>
    <w:rsid w:val="212152E8"/>
    <w:rsid w:val="21343F15"/>
    <w:rsid w:val="21E93AF0"/>
    <w:rsid w:val="22EB3FC4"/>
    <w:rsid w:val="238166D6"/>
    <w:rsid w:val="24F14EB5"/>
    <w:rsid w:val="285701DD"/>
    <w:rsid w:val="2BE673A1"/>
    <w:rsid w:val="2CAC2729"/>
    <w:rsid w:val="2F051A45"/>
    <w:rsid w:val="30BE05F3"/>
    <w:rsid w:val="33512F20"/>
    <w:rsid w:val="342C658A"/>
    <w:rsid w:val="369B3F26"/>
    <w:rsid w:val="37EB09D5"/>
    <w:rsid w:val="38827AEB"/>
    <w:rsid w:val="39527A3A"/>
    <w:rsid w:val="41450D7A"/>
    <w:rsid w:val="42AC50F2"/>
    <w:rsid w:val="43B9558F"/>
    <w:rsid w:val="473D089B"/>
    <w:rsid w:val="47FB14C3"/>
    <w:rsid w:val="49811183"/>
    <w:rsid w:val="4C405F26"/>
    <w:rsid w:val="4CDD40CE"/>
    <w:rsid w:val="4D861393"/>
    <w:rsid w:val="4EA56E6D"/>
    <w:rsid w:val="510C41C6"/>
    <w:rsid w:val="514F55EE"/>
    <w:rsid w:val="544113E6"/>
    <w:rsid w:val="5C8C7C48"/>
    <w:rsid w:val="5E8B37D3"/>
    <w:rsid w:val="5FA36047"/>
    <w:rsid w:val="604C2522"/>
    <w:rsid w:val="62584872"/>
    <w:rsid w:val="651678F1"/>
    <w:rsid w:val="688E7799"/>
    <w:rsid w:val="696D158B"/>
    <w:rsid w:val="6C1E6C5B"/>
    <w:rsid w:val="6E5E2FB2"/>
    <w:rsid w:val="72563E57"/>
    <w:rsid w:val="751A66D1"/>
    <w:rsid w:val="757123E4"/>
    <w:rsid w:val="75CD4674"/>
    <w:rsid w:val="7D6E29E8"/>
    <w:rsid w:val="7E696CC0"/>
    <w:rsid w:val="7EE0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28"/>
      <w:szCs w:val="20"/>
    </w:rPr>
  </w:style>
  <w:style w:type="character" w:customStyle="1" w:styleId="11">
    <w:name w:val="批注框文本 字符"/>
    <w:basedOn w:val="9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字符"/>
    <w:basedOn w:val="9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1207</Characters>
  <Lines>25</Lines>
  <Paragraphs>7</Paragraphs>
  <TotalTime>77</TotalTime>
  <ScaleCrop>false</ScaleCrop>
  <LinksUpToDate>false</LinksUpToDate>
  <CharactersWithSpaces>1246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2022-06-27T06:51:00Z</dcterms:created>
  <dc:creator>卢翔骏</dc:creator>
  <cp:lastModifiedBy>郑怀宇</cp:lastModifiedBy>
  <dcterms:modified xsi:type="dcterms:W3CDTF">2025-11-14T03:19:41Z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1C5AB9A05E6A4DB088FB770729157D30_13</vt:lpwstr>
  </property>
  <property fmtid="{D5CDD505-2E9C-101B-9397-08002B2CF9AE}" pid="4" name="KSOTemplateDocerSaveRecord">
    <vt:lpwstr>eyJoZGlkIjoiNWI5OWJmMWQxZWY2OGJlM2ZjYWQxM2QxODEyMzg4ZWQiLCJ1c2VySWQiOiIxNDcxNTg3NDEzIn0=</vt:lpwstr>
  </property>
</Properties>
</file>