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numPr>
          <w:numId w:val="0"/>
        </w:numPr>
        <w:rPr>
          <w:rFonts w:hint="eastAsia" w:hAnsi="宋体"/>
        </w:rPr>
      </w:pPr>
      <w:r>
        <w:rPr>
          <w:rFonts w:hint="eastAsia" w:hAnsi="宋体"/>
          <w:lang w:val="en-US" w:eastAsia="zh-CN"/>
        </w:rPr>
        <w:t>一、</w:t>
      </w:r>
      <w:r>
        <w:rPr>
          <w:rFonts w:hint="eastAsia" w:hAnsi="宋体"/>
          <w:lang w:val="en-US" w:eastAsia="zh-Hans"/>
        </w:rPr>
        <w:t>续保</w:t>
      </w:r>
      <w:r>
        <w:rPr>
          <w:rFonts w:hint="eastAsia" w:hAnsi="宋体"/>
        </w:rPr>
        <w:t>设备：</w:t>
      </w:r>
    </w:p>
    <w:p>
      <w:pPr>
        <w:pStyle w:val="20"/>
        <w:numPr>
          <w:ilvl w:val="0"/>
          <w:numId w:val="0"/>
        </w:numPr>
        <w:rPr>
          <w:rFonts w:hint="default" w:hAnsi="宋体" w:eastAsia="宋体"/>
          <w:b/>
          <w:bCs/>
          <w:lang w:val="en-US" w:eastAsia="zh-CN"/>
        </w:rPr>
      </w:pPr>
      <w:r>
        <w:rPr>
          <w:rFonts w:hint="eastAsia" w:hAnsi="宋体"/>
          <w:b/>
          <w:bCs/>
          <w:lang w:val="en-US" w:eastAsia="zh-CN"/>
        </w:rPr>
        <w:t xml:space="preserve">安恒 </w:t>
      </w:r>
      <w:r>
        <w:rPr>
          <w:rFonts w:hint="eastAsia" w:hAnsi="宋体"/>
          <w:b/>
          <w:bCs/>
          <w:lang w:val="en-US" w:eastAsia="zh-Hans"/>
        </w:rPr>
        <w:t>明御运维审计与风险控制系统</w:t>
      </w:r>
      <w:r>
        <w:rPr>
          <w:rFonts w:hint="default" w:hAnsi="宋体"/>
          <w:b/>
          <w:bCs/>
          <w:lang w:eastAsia="zh-Hans"/>
        </w:rPr>
        <w:t>DAS-USMAPP800</w:t>
      </w:r>
      <w:r>
        <w:rPr>
          <w:rFonts w:hint="eastAsia" w:hAnsi="宋体"/>
          <w:b/>
          <w:bCs/>
          <w:lang w:val="en-US" w:eastAsia="zh-CN"/>
        </w:rPr>
        <w:t xml:space="preserve">  1台</w:t>
      </w:r>
    </w:p>
    <w:p>
      <w:pPr>
        <w:pStyle w:val="20"/>
        <w:numPr>
          <w:numId w:val="0"/>
        </w:numPr>
        <w:rPr>
          <w:rFonts w:hint="eastAsia" w:hAnsi="宋体"/>
        </w:rPr>
      </w:pPr>
      <w:r>
        <w:rPr>
          <w:rFonts w:hint="eastAsia" w:hAnsi="宋体"/>
          <w:lang w:val="en-US" w:eastAsia="zh-CN"/>
        </w:rPr>
        <w:t>二、</w:t>
      </w:r>
      <w:r>
        <w:rPr>
          <w:rFonts w:hint="eastAsia" w:hAnsi="宋体"/>
          <w:lang w:val="en-US" w:eastAsia="zh-Hans"/>
        </w:rPr>
        <w:t>服务要求</w:t>
      </w:r>
      <w:r>
        <w:rPr>
          <w:rFonts w:hint="default" w:hAnsi="宋体"/>
          <w:lang w:eastAsia="zh-Hans"/>
        </w:rPr>
        <w:t>：</w:t>
      </w:r>
    </w:p>
    <w:p>
      <w:pPr>
        <w:pStyle w:val="20"/>
        <w:numPr>
          <w:ilvl w:val="0"/>
          <w:numId w:val="0"/>
        </w:numPr>
        <w:rPr>
          <w:rFonts w:hint="default" w:hAnsi="宋体"/>
          <w:lang w:eastAsia="zh-Hans"/>
        </w:rPr>
      </w:pPr>
      <w:r>
        <w:rPr>
          <w:rFonts w:hint="eastAsia" w:hAnsi="宋体"/>
          <w:lang w:val="en-US" w:eastAsia="zh-CN"/>
        </w:rPr>
        <w:t>服务时限：合同签订之日起到2025年11月31日</w:t>
      </w:r>
      <w:r>
        <w:rPr>
          <w:rFonts w:hint="default" w:hAnsi="宋体"/>
          <w:lang w:eastAsia="zh-Hans"/>
        </w:rPr>
        <w:t>。</w:t>
      </w:r>
    </w:p>
    <w:p>
      <w:pPr>
        <w:pStyle w:val="20"/>
        <w:numPr>
          <w:ilvl w:val="0"/>
          <w:numId w:val="0"/>
        </w:numPr>
        <w:rPr>
          <w:rFonts w:hint="eastAsia" w:hAnsi="宋体"/>
          <w:lang w:val="en-US" w:eastAsia="zh-Hans"/>
        </w:rPr>
      </w:pPr>
      <w:r>
        <w:rPr>
          <w:rFonts w:hint="eastAsia" w:hAnsi="宋体"/>
          <w:lang w:val="en-US" w:eastAsia="zh-Hans"/>
        </w:rPr>
        <w:t>在维保服务期内免费提供以下服务</w:t>
      </w:r>
    </w:p>
    <w:p>
      <w:pPr>
        <w:pStyle w:val="20"/>
        <w:numPr>
          <w:ilvl w:val="0"/>
          <w:numId w:val="0"/>
        </w:numPr>
        <w:rPr>
          <w:rFonts w:hint="default" w:hAnsi="宋体"/>
          <w:lang w:eastAsia="zh-Hans"/>
        </w:rPr>
      </w:pPr>
      <w:r>
        <w:rPr>
          <w:rFonts w:hint="default" w:hAnsi="宋体"/>
          <w:lang w:eastAsia="zh-Hans"/>
        </w:rPr>
        <w:t>2</w:t>
      </w:r>
      <w:r>
        <w:rPr>
          <w:rFonts w:hint="eastAsia" w:hAnsi="宋体"/>
          <w:lang w:val="en-US" w:eastAsia="zh-Hans"/>
        </w:rPr>
        <w:t>.</w:t>
      </w:r>
      <w:r>
        <w:rPr>
          <w:rFonts w:hint="default" w:hAnsi="宋体"/>
          <w:lang w:eastAsia="zh-Hans"/>
        </w:rPr>
        <w:t>1</w:t>
      </w:r>
      <w:r>
        <w:rPr>
          <w:rFonts w:hint="eastAsia" w:hAnsi="宋体"/>
          <w:lang w:val="en-US" w:eastAsia="zh-Hans"/>
        </w:rPr>
        <w:t>软件更新服务</w:t>
      </w:r>
      <w:r>
        <w:rPr>
          <w:rFonts w:hint="default" w:hAnsi="宋体"/>
          <w:lang w:eastAsia="zh-Hans"/>
        </w:rPr>
        <w:t>：</w:t>
      </w:r>
    </w:p>
    <w:p>
      <w:pPr>
        <w:pStyle w:val="20"/>
        <w:numPr>
          <w:ilvl w:val="0"/>
          <w:numId w:val="0"/>
        </w:numPr>
        <w:rPr>
          <w:rFonts w:hint="eastAsia" w:hAnsi="宋体"/>
          <w:lang w:val="en-US" w:eastAsia="zh-Hans"/>
        </w:rPr>
      </w:pPr>
      <w:r>
        <w:rPr>
          <w:rFonts w:hint="eastAsia" w:hAnsi="宋体"/>
          <w:lang w:val="en-US" w:eastAsia="zh-Hans"/>
        </w:rPr>
        <w:t>乙方需要甲方提供维保厂商系统正式发布的各个软件版本升级及补丁</w:t>
      </w:r>
      <w:r>
        <w:rPr>
          <w:rFonts w:hint="default" w:hAnsi="宋体"/>
          <w:lang w:eastAsia="zh-Hans"/>
        </w:rPr>
        <w:t>,</w:t>
      </w:r>
      <w:r>
        <w:rPr>
          <w:rFonts w:hint="eastAsia" w:hAnsi="宋体"/>
          <w:lang w:val="en-US" w:eastAsia="zh-Hans"/>
        </w:rPr>
        <w:t>工具的更新和升级服务</w:t>
      </w:r>
    </w:p>
    <w:p>
      <w:pPr>
        <w:pStyle w:val="20"/>
        <w:numPr>
          <w:ilvl w:val="0"/>
          <w:numId w:val="0"/>
        </w:numPr>
        <w:rPr>
          <w:rFonts w:hint="default" w:hAnsi="宋体"/>
          <w:lang w:eastAsia="zh-Hans"/>
        </w:rPr>
      </w:pPr>
      <w:r>
        <w:rPr>
          <w:rFonts w:hint="default" w:hAnsi="宋体"/>
          <w:lang w:eastAsia="zh-Hans"/>
        </w:rPr>
        <w:t>2</w:t>
      </w:r>
      <w:r>
        <w:rPr>
          <w:rFonts w:hint="eastAsia" w:hAnsi="宋体"/>
          <w:lang w:val="en-US" w:eastAsia="zh-Hans"/>
        </w:rPr>
        <w:t>.</w:t>
      </w:r>
      <w:r>
        <w:rPr>
          <w:rFonts w:hint="default" w:hAnsi="宋体"/>
          <w:lang w:eastAsia="zh-Hans"/>
        </w:rPr>
        <w:t>2</w:t>
      </w:r>
      <w:r>
        <w:rPr>
          <w:rFonts w:hint="eastAsia" w:hAnsi="宋体"/>
          <w:lang w:val="en-US" w:eastAsia="zh-Hans"/>
        </w:rPr>
        <w:t>产品保修服务</w:t>
      </w:r>
      <w:r>
        <w:rPr>
          <w:rFonts w:hint="default" w:hAnsi="宋体"/>
          <w:lang w:eastAsia="zh-Hans"/>
        </w:rPr>
        <w:t>：</w:t>
      </w:r>
    </w:p>
    <w:p>
      <w:pPr>
        <w:pStyle w:val="20"/>
        <w:numPr>
          <w:ilvl w:val="0"/>
          <w:numId w:val="0"/>
        </w:numPr>
        <w:rPr>
          <w:rFonts w:hint="eastAsia" w:hAnsi="宋体"/>
          <w:lang w:val="en-US" w:eastAsia="zh-Hans"/>
        </w:rPr>
      </w:pPr>
      <w:r>
        <w:rPr>
          <w:rFonts w:hint="eastAsia" w:hAnsi="宋体"/>
          <w:lang w:val="en-US" w:eastAsia="zh-Hans"/>
        </w:rPr>
        <w:t>提供软硬件保修服务</w:t>
      </w:r>
      <w:r>
        <w:rPr>
          <w:rFonts w:hint="default" w:hAnsi="宋体"/>
          <w:lang w:eastAsia="zh-Hans"/>
        </w:rPr>
        <w:t>，</w:t>
      </w:r>
      <w:r>
        <w:rPr>
          <w:rFonts w:hint="eastAsia" w:hAnsi="宋体"/>
          <w:lang w:val="en-US" w:eastAsia="zh-Hans"/>
        </w:rPr>
        <w:t>设备如若出现硬件故障需要返场维修</w:t>
      </w:r>
      <w:r>
        <w:rPr>
          <w:rFonts w:hint="default" w:hAnsi="宋体"/>
          <w:lang w:eastAsia="zh-Hans"/>
        </w:rPr>
        <w:t>，</w:t>
      </w:r>
      <w:r>
        <w:rPr>
          <w:rFonts w:hint="eastAsia" w:hAnsi="宋体"/>
          <w:lang w:val="en-US" w:eastAsia="zh-Hans"/>
        </w:rPr>
        <w:t>乙方需负责将故障设备寄送原厂售后中心</w:t>
      </w:r>
    </w:p>
    <w:p>
      <w:pPr>
        <w:pStyle w:val="20"/>
        <w:numPr>
          <w:ilvl w:val="0"/>
          <w:numId w:val="0"/>
        </w:numPr>
        <w:rPr>
          <w:rFonts w:hint="default" w:hAnsi="宋体"/>
          <w:lang w:eastAsia="zh-Hans"/>
        </w:rPr>
      </w:pPr>
      <w:r>
        <w:rPr>
          <w:rFonts w:hint="default" w:hAnsi="宋体"/>
          <w:lang w:eastAsia="zh-Hans"/>
        </w:rPr>
        <w:t>2.3远程支持服务;</w:t>
      </w:r>
    </w:p>
    <w:p>
      <w:pPr>
        <w:pStyle w:val="20"/>
        <w:numPr>
          <w:ilvl w:val="0"/>
          <w:numId w:val="0"/>
        </w:numPr>
        <w:rPr>
          <w:rFonts w:hint="default" w:hAnsi="宋体"/>
          <w:lang w:eastAsia="zh-Hans"/>
        </w:rPr>
      </w:pPr>
      <w:r>
        <w:rPr>
          <w:rFonts w:hint="default" w:hAnsi="宋体"/>
          <w:lang w:eastAsia="zh-Hans"/>
        </w:rPr>
        <w:t>乙方需向甲方提供服务热线、在线客服、技术支持邮箱等服务渠道，7*24小时受理客户服务请求。技术人员可通过电话、网络等方式实时对硬件操作、故障诊断等问题提供支持。紧急情况时本地人员可立即响应远程支持。</w:t>
      </w:r>
    </w:p>
    <w:p>
      <w:pPr>
        <w:pStyle w:val="20"/>
        <w:numPr>
          <w:ilvl w:val="0"/>
          <w:numId w:val="0"/>
        </w:numPr>
        <w:rPr>
          <w:rFonts w:hint="default" w:hAnsi="宋体"/>
          <w:lang w:eastAsia="zh-Hans"/>
        </w:rPr>
      </w:pPr>
      <w:r>
        <w:rPr>
          <w:rFonts w:hint="default" w:hAnsi="宋体"/>
          <w:lang w:eastAsia="zh-Hans"/>
        </w:rPr>
        <w:t>2.4现场支持服务</w:t>
      </w:r>
    </w:p>
    <w:p>
      <w:pPr>
        <w:pStyle w:val="20"/>
        <w:numPr>
          <w:ilvl w:val="0"/>
          <w:numId w:val="0"/>
        </w:numPr>
        <w:rPr>
          <w:rFonts w:hint="default" w:hAnsi="宋体"/>
          <w:lang w:eastAsia="zh-Hans"/>
        </w:rPr>
      </w:pPr>
      <w:r>
        <w:rPr>
          <w:rFonts w:hint="default" w:hAnsi="宋体"/>
          <w:lang w:eastAsia="zh-Hans"/>
        </w:rPr>
        <w:t>响应时间段为工作日5x8小时服务，福州本地三小时内现场响应，服务内容</w:t>
      </w:r>
      <w:r>
        <w:rPr>
          <w:rFonts w:hint="eastAsia" w:hAnsi="宋体"/>
          <w:lang w:val="en-US" w:eastAsia="zh-Hans"/>
        </w:rPr>
        <w:t>包含</w:t>
      </w:r>
      <w:r>
        <w:rPr>
          <w:rFonts w:hint="default" w:hAnsi="宋体"/>
          <w:lang w:eastAsia="zh-Hans"/>
        </w:rPr>
        <w:t>现场故障支持，产品安装调试和使用培训服务;</w:t>
      </w:r>
    </w:p>
    <w:p>
      <w:pPr>
        <w:pStyle w:val="20"/>
        <w:numPr>
          <w:ilvl w:val="0"/>
          <w:numId w:val="0"/>
        </w:numPr>
        <w:rPr>
          <w:rFonts w:hint="default" w:hAnsi="宋体"/>
          <w:lang w:eastAsia="zh-Hans"/>
        </w:rPr>
      </w:pPr>
      <w:r>
        <w:rPr>
          <w:rFonts w:hint="default" w:hAnsi="宋体"/>
          <w:lang w:eastAsia="zh-Hans"/>
        </w:rPr>
        <w:t>2.5定期巡检</w:t>
      </w:r>
    </w:p>
    <w:p>
      <w:pPr>
        <w:pStyle w:val="20"/>
        <w:numPr>
          <w:ilvl w:val="0"/>
          <w:numId w:val="0"/>
        </w:numPr>
        <w:rPr>
          <w:rFonts w:hint="default" w:hAnsi="宋体"/>
          <w:lang w:eastAsia="zh-Hans"/>
        </w:rPr>
      </w:pPr>
      <w:r>
        <w:rPr>
          <w:rFonts w:hint="default" w:hAnsi="宋体"/>
          <w:lang w:eastAsia="zh-Hans"/>
        </w:rPr>
        <w:t>针对系统的运行情况，每个季度进行深度巡检，对于发现的问题及时与甲方沟通反馈，并出具相应报告;根据设备发现的网络安全威胁问题，结合实际进行有针对性地人工分析，形成季度安全威胁分析报告并汇报。</w:t>
      </w:r>
    </w:p>
    <w:p>
      <w:pPr>
        <w:pStyle w:val="20"/>
        <w:numPr>
          <w:ilvl w:val="0"/>
          <w:numId w:val="0"/>
        </w:numPr>
        <w:ind w:firstLine="240" w:firstLineChars="100"/>
        <w:rPr>
          <w:rFonts w:hint="default" w:hAnsi="宋体"/>
          <w:lang w:eastAsia="zh-Hans"/>
        </w:rPr>
      </w:pPr>
      <w:r>
        <w:rPr>
          <w:rFonts w:hint="eastAsia" w:hAnsi="宋体"/>
          <w:lang w:val="en-US" w:eastAsia="zh-CN"/>
        </w:rPr>
        <w:t>2.5.1</w:t>
      </w:r>
      <w:r>
        <w:rPr>
          <w:rFonts w:hint="default" w:hAnsi="宋体"/>
          <w:lang w:eastAsia="zh-Hans"/>
        </w:rPr>
        <w:t>问题处理报告:工程师在系统故障解决后将故障现象、故障判断过程、故障处理过程、故障造成的系统和应用的损失以及由于故障而改变的系统参数或对系统做的任何操作集中整理，形成最终的故障处理报告。</w:t>
      </w:r>
    </w:p>
    <w:p>
      <w:pPr>
        <w:pStyle w:val="20"/>
        <w:numPr>
          <w:ilvl w:val="0"/>
          <w:numId w:val="0"/>
        </w:numPr>
        <w:ind w:firstLine="240" w:firstLineChars="100"/>
        <w:rPr>
          <w:rFonts w:hint="default" w:hAnsi="宋体"/>
          <w:lang w:eastAsia="zh-Hans"/>
        </w:rPr>
      </w:pPr>
      <w:r>
        <w:rPr>
          <w:rFonts w:hint="eastAsia" w:hAnsi="宋体"/>
          <w:lang w:val="en-US" w:eastAsia="zh-CN"/>
        </w:rPr>
        <w:t>2.5.2</w:t>
      </w:r>
      <w:r>
        <w:rPr>
          <w:rFonts w:hint="default" w:hAnsi="宋体"/>
          <w:lang w:eastAsia="zh-Hans"/>
        </w:rPr>
        <w:t>巡检报告:工程师定期巡不检，并形成巡检报告。</w:t>
      </w:r>
    </w:p>
    <w:p>
      <w:pPr>
        <w:pStyle w:val="20"/>
        <w:numPr>
          <w:ilvl w:val="0"/>
          <w:numId w:val="0"/>
        </w:numPr>
        <w:ind w:firstLine="240" w:firstLineChars="100"/>
        <w:rPr>
          <w:rFonts w:hint="default" w:hAnsi="宋体"/>
          <w:lang w:eastAsia="zh-Hans"/>
        </w:rPr>
      </w:pPr>
      <w:r>
        <w:rPr>
          <w:rFonts w:hint="eastAsia" w:hAnsi="宋体"/>
          <w:lang w:val="en-US" w:eastAsia="zh-CN"/>
        </w:rPr>
        <w:t>2.5.3</w:t>
      </w:r>
      <w:r>
        <w:rPr>
          <w:rFonts w:hint="default" w:hAnsi="宋体"/>
          <w:lang w:eastAsia="zh-Hans"/>
        </w:rPr>
        <w:t>升级报告:维保期内，如遇到设备软件升级，工程师成升级后，须形成升级报告。</w:t>
      </w:r>
    </w:p>
    <w:p>
      <w:pPr>
        <w:pStyle w:val="20"/>
        <w:numPr>
          <w:ilvl w:val="0"/>
          <w:numId w:val="0"/>
        </w:numPr>
        <w:rPr>
          <w:rFonts w:hint="default" w:hAnsi="宋体"/>
          <w:lang w:eastAsia="zh-Hans"/>
        </w:rPr>
      </w:pPr>
      <w:r>
        <w:rPr>
          <w:rFonts w:hint="eastAsia" w:hAnsi="宋体"/>
          <w:lang w:val="en-US" w:eastAsia="zh-Hans"/>
        </w:rPr>
        <w:t>上述报告均须提交</w:t>
      </w:r>
      <w:r>
        <w:rPr>
          <w:rFonts w:hint="default" w:hAnsi="宋体"/>
          <w:lang w:eastAsia="zh-Hans"/>
        </w:rPr>
        <w:t>1</w:t>
      </w:r>
      <w:r>
        <w:rPr>
          <w:rFonts w:hint="eastAsia" w:hAnsi="宋体"/>
          <w:lang w:val="en-US" w:eastAsia="zh-Hans"/>
        </w:rPr>
        <w:t>份电子档或书面报告给甲方留存</w:t>
      </w:r>
      <w:r>
        <w:rPr>
          <w:rFonts w:hint="default" w:hAnsi="宋体"/>
          <w:lang w:eastAsia="zh-Hans"/>
        </w:rPr>
        <w:t>。</w:t>
      </w:r>
    </w:p>
    <w:p>
      <w:pPr>
        <w:pStyle w:val="20"/>
        <w:numPr>
          <w:ilvl w:val="0"/>
          <w:numId w:val="0"/>
        </w:numPr>
        <w:rPr>
          <w:rFonts w:hint="default" w:hAnsi="宋体"/>
          <w:lang w:eastAsia="zh-Hans"/>
        </w:rPr>
      </w:pPr>
      <w:r>
        <w:rPr>
          <w:rFonts w:hint="eastAsia" w:hAnsi="宋体"/>
          <w:lang w:val="en-US" w:eastAsia="zh-CN"/>
        </w:rPr>
        <w:t xml:space="preserve">2.6 </w:t>
      </w:r>
      <w:r>
        <w:rPr>
          <w:rFonts w:hint="default" w:hAnsi="宋体"/>
          <w:lang w:eastAsia="zh-Hans"/>
        </w:rPr>
        <w:t>中标人在接到采购人故障通知24小时内派工程师到达现场，若48小时内无法修复的货物，中标人则应提供备品供采购人教学、科研使用。</w:t>
      </w:r>
    </w:p>
    <w:p>
      <w:pPr>
        <w:pStyle w:val="20"/>
        <w:numPr>
          <w:ilvl w:val="0"/>
          <w:numId w:val="0"/>
        </w:numPr>
        <w:rPr>
          <w:rFonts w:hint="default" w:hAnsi="宋体"/>
          <w:b/>
          <w:bCs/>
          <w:lang w:eastAsia="zh-Hans"/>
        </w:rPr>
      </w:pPr>
      <w:r>
        <w:rPr>
          <w:rFonts w:hint="eastAsia" w:hAnsi="宋体"/>
          <w:b/>
          <w:bCs/>
          <w:lang w:val="en-US" w:eastAsia="zh-CN"/>
        </w:rPr>
        <w:t>三</w:t>
      </w:r>
      <w:r>
        <w:rPr>
          <w:rFonts w:hint="default" w:hAnsi="宋体"/>
          <w:b/>
          <w:bCs/>
          <w:lang w:eastAsia="zh-Hans"/>
        </w:rPr>
        <w:t>、商务条款</w:t>
      </w:r>
    </w:p>
    <w:p>
      <w:pPr>
        <w:pStyle w:val="20"/>
        <w:numPr>
          <w:ilvl w:val="0"/>
          <w:numId w:val="0"/>
        </w:numPr>
        <w:rPr>
          <w:rFonts w:hint="default" w:hAnsi="宋体"/>
          <w:lang w:eastAsia="zh-Hans"/>
        </w:rPr>
      </w:pPr>
      <w:r>
        <w:rPr>
          <w:rFonts w:hint="default" w:hAnsi="宋体"/>
          <w:lang w:eastAsia="zh-Hans"/>
        </w:rPr>
        <w:t>1.本项目限价人民币</w:t>
      </w:r>
      <w:r>
        <w:rPr>
          <w:rFonts w:hint="eastAsia" w:hAnsi="宋体"/>
          <w:lang w:val="en-US" w:eastAsia="zh-CN"/>
        </w:rPr>
        <w:t>34</w:t>
      </w:r>
      <w:r>
        <w:rPr>
          <w:rFonts w:hint="default" w:hAnsi="宋体"/>
          <w:lang w:eastAsia="zh-Hans"/>
        </w:rPr>
        <w:t>000元；</w:t>
      </w:r>
    </w:p>
    <w:p>
      <w:pPr>
        <w:pStyle w:val="20"/>
        <w:numPr>
          <w:ilvl w:val="0"/>
          <w:numId w:val="0"/>
        </w:numPr>
        <w:rPr>
          <w:rFonts w:hint="default" w:hAnsi="宋体"/>
          <w:lang w:eastAsia="zh-Hans"/>
        </w:rPr>
      </w:pPr>
      <w:r>
        <w:rPr>
          <w:rFonts w:hint="default" w:hAnsi="宋体"/>
          <w:lang w:eastAsia="zh-Hans"/>
        </w:rPr>
        <w:t>2.款项支付：</w:t>
      </w:r>
    </w:p>
    <w:p>
      <w:pPr>
        <w:pStyle w:val="20"/>
        <w:numPr>
          <w:ilvl w:val="0"/>
          <w:numId w:val="0"/>
        </w:numPr>
        <w:rPr>
          <w:rFonts w:hint="default" w:hAnsi="宋体"/>
          <w:lang w:eastAsia="zh-Hans"/>
        </w:rPr>
      </w:pPr>
      <w:r>
        <w:rPr>
          <w:rFonts w:hint="default" w:hAnsi="宋体"/>
          <w:lang w:eastAsia="zh-Hans"/>
        </w:rPr>
        <w:t xml:space="preserve">    2024年1月31日前将相关</w:t>
      </w:r>
      <w:bookmarkStart w:id="0" w:name="_GoBack"/>
      <w:bookmarkEnd w:id="0"/>
      <w:r>
        <w:rPr>
          <w:rFonts w:hint="default" w:hAnsi="宋体"/>
          <w:lang w:eastAsia="zh-Hans"/>
        </w:rPr>
        <w:t>授权部署至甲方设备，完成首次巡检服务，出具相应报告后，中标人提供合同100%发票，报学校支付相应款项。</w:t>
      </w:r>
    </w:p>
    <w:p>
      <w:pPr>
        <w:pStyle w:val="20"/>
        <w:numPr>
          <w:ilvl w:val="0"/>
          <w:numId w:val="0"/>
        </w:numPr>
        <w:rPr>
          <w:rFonts w:hint="default" w:hAnsi="宋体"/>
          <w:lang w:eastAsia="zh-Hans"/>
        </w:rPr>
      </w:pPr>
    </w:p>
    <w:p>
      <w:pPr>
        <w:pStyle w:val="20"/>
        <w:numPr>
          <w:ilvl w:val="0"/>
          <w:numId w:val="0"/>
        </w:numPr>
        <w:rPr>
          <w:rFonts w:hint="default" w:hAnsi="宋体"/>
          <w:lang w:eastAsia="zh-Hans"/>
        </w:rPr>
      </w:pPr>
    </w:p>
    <w:p/>
    <w:sectPr>
      <w:headerReference r:id="rId3" w:type="default"/>
      <w:footerReference r:id="rId4" w:type="default"/>
      <w:pgSz w:w="11906" w:h="16838"/>
      <w:pgMar w:top="1418" w:right="1134" w:bottom="1418" w:left="1701" w:header="851" w:footer="992" w:gutter="0"/>
      <w:cols w:space="425" w:num="1"/>
      <w:docGrid w:type="lines" w:linePitch="436"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4579F"/>
    <w:multiLevelType w:val="multilevel"/>
    <w:tmpl w:val="1C64579F"/>
    <w:lvl w:ilvl="0" w:tentative="0">
      <w:start w:val="1"/>
      <w:numFmt w:val="chineseCountingThousand"/>
      <w:suff w:val="nothing"/>
      <w:lvlText w:val="第%1章"/>
      <w:lvlJc w:val="left"/>
      <w:rPr>
        <w:rFonts w:hint="eastAsia" w:cs="Times New Roman"/>
      </w:rPr>
    </w:lvl>
    <w:lvl w:ilvl="1" w:tentative="0">
      <w:start w:val="1"/>
      <w:numFmt w:val="decimal"/>
      <w:suff w:val="nothing"/>
      <w:lvlText w:val="%2."/>
      <w:lvlJc w:val="left"/>
      <w:rPr>
        <w:rFonts w:hint="default" w:ascii="Arial" w:hAnsi="Arial" w:eastAsia="宋体"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chineseCountingThousand"/>
      <w:lvlText w:val="%5、"/>
      <w:lvlJc w:val="left"/>
      <w:pPr>
        <w:tabs>
          <w:tab w:val="left" w:pos="720"/>
        </w:tabs>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chineseCountingThousand"/>
      <w:pStyle w:val="9"/>
      <w:suff w:val="nothing"/>
      <w:lvlText w:val="%7、"/>
      <w:lvlJc w:val="left"/>
      <w:rPr>
        <w:rFonts w:hint="eastAsia" w:cs="Times New Roman"/>
        <w:lang w:val="en-US"/>
      </w:rPr>
    </w:lvl>
    <w:lvl w:ilvl="7" w:tentative="0">
      <w:start w:val="1"/>
      <w:numFmt w:val="none"/>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1">
    <w:nsid w:val="568A2791"/>
    <w:multiLevelType w:val="multilevel"/>
    <w:tmpl w:val="568A2791"/>
    <w:lvl w:ilvl="0" w:tentative="0">
      <w:start w:val="1"/>
      <w:numFmt w:val="decimal"/>
      <w:pStyle w:val="3"/>
      <w:suff w:val="space"/>
      <w:lvlText w:val="%1."/>
      <w:lvlJc w:val="left"/>
      <w:rPr>
        <w:rFonts w:hint="default" w:ascii="Arial" w:hAnsi="Arial" w:eastAsia="宋体" w:cs="Times New Roman"/>
      </w:rPr>
    </w:lvl>
    <w:lvl w:ilvl="1" w:tentative="0">
      <w:start w:val="1"/>
      <w:numFmt w:val="decimal"/>
      <w:pStyle w:val="4"/>
      <w:suff w:val="space"/>
      <w:lvlText w:val="%1.%2"/>
      <w:lvlJc w:val="left"/>
      <w:rPr>
        <w:rFonts w:hint="default" w:ascii="Arial" w:hAnsi="Arial" w:eastAsia="宋体" w:cs="Times New Roman"/>
      </w:rPr>
    </w:lvl>
    <w:lvl w:ilvl="2" w:tentative="0">
      <w:start w:val="1"/>
      <w:numFmt w:val="decimal"/>
      <w:pStyle w:val="5"/>
      <w:suff w:val="space"/>
      <w:lvlText w:val="%1.%2.%3"/>
      <w:lvlJc w:val="left"/>
      <w:rPr>
        <w:rFonts w:hint="default" w:ascii="Arial" w:hAnsi="Arial" w:eastAsia="宋体" w:cs="Times New Roman"/>
      </w:rPr>
    </w:lvl>
    <w:lvl w:ilvl="3" w:tentative="0">
      <w:start w:val="1"/>
      <w:numFmt w:val="decimal"/>
      <w:pStyle w:val="6"/>
      <w:suff w:val="space"/>
      <w:lvlText w:val="%1.%2.%3.%4"/>
      <w:lvlJc w:val="left"/>
      <w:rPr>
        <w:rFonts w:hint="eastAsia" w:cs="Times New Roman"/>
      </w:rPr>
    </w:lvl>
    <w:lvl w:ilvl="4" w:tentative="0">
      <w:start w:val="1"/>
      <w:numFmt w:val="decimal"/>
      <w:pStyle w:val="7"/>
      <w:suff w:val="space"/>
      <w:lvlText w:val="%1.%2.%3.%4.%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