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  <w:b/>
          <w:bCs/>
        </w:rPr>
        <w:t>维保及安全扩容服务说明：</w:t>
      </w:r>
    </w:p>
    <w:p>
      <w:pPr>
        <w:ind w:firstLine="0" w:firstLineChars="0"/>
        <w:rPr>
          <w:rFonts w:ascii="宋体" w:hAnsi="宋体"/>
          <w:b/>
          <w:bCs w:val="0"/>
        </w:rPr>
      </w:pPr>
      <w:r>
        <w:rPr>
          <w:rFonts w:hint="eastAsia" w:ascii="宋体" w:hAnsi="宋体"/>
          <w:b/>
          <w:bCs w:val="0"/>
        </w:rPr>
        <w:t>山石网科防火墙硬件延保及升级服务，</w:t>
      </w:r>
      <w:r>
        <w:rPr>
          <w:rFonts w:hint="eastAsia" w:ascii="宋体" w:hAnsi="宋体"/>
          <w:b/>
          <w:bCs w:val="0"/>
          <w:lang w:val="en-US" w:eastAsia="zh-CN"/>
        </w:rPr>
        <w:t>设备</w:t>
      </w:r>
      <w:r>
        <w:rPr>
          <w:rFonts w:hint="eastAsia" w:ascii="宋体" w:hAnsi="宋体"/>
          <w:b/>
          <w:bCs w:val="0"/>
        </w:rPr>
        <w:t>型号：SG-6000-E3965</w:t>
      </w:r>
      <w:r>
        <w:rPr>
          <w:rFonts w:hint="eastAsia" w:ascii="宋体" w:hAnsi="宋体"/>
          <w:b/>
          <w:bCs w:val="0"/>
          <w:lang w:val="en-US" w:eastAsia="zh-CN"/>
        </w:rPr>
        <w:t xml:space="preserve">  ，数量 </w:t>
      </w:r>
      <w:r>
        <w:rPr>
          <w:rFonts w:hint="eastAsia" w:ascii="宋体" w:hAnsi="宋体"/>
          <w:b/>
          <w:bCs w:val="0"/>
        </w:rPr>
        <w:t>2台</w:t>
      </w:r>
    </w:p>
    <w:p>
      <w:pPr>
        <w:ind w:firstLine="480" w:firstLineChars="200"/>
        <w:rPr>
          <w:rFonts w:hint="eastAsia" w:eastAsia="宋体"/>
          <w:bCs/>
          <w:szCs w:val="21"/>
          <w:lang w:eastAsia="zh-CN"/>
        </w:rPr>
      </w:pPr>
      <w:r>
        <w:rPr>
          <w:rFonts w:hint="eastAsia"/>
          <w:bCs/>
          <w:szCs w:val="21"/>
        </w:rPr>
        <w:t>硬件保修服务续保</w:t>
      </w:r>
      <w:r>
        <w:rPr>
          <w:rFonts w:hint="eastAsia"/>
          <w:bCs/>
          <w:szCs w:val="21"/>
          <w:lang w:eastAsia="zh-CN"/>
        </w:rPr>
        <w:t>：</w:t>
      </w:r>
    </w:p>
    <w:p>
      <w:pPr>
        <w:pStyle w:val="12"/>
        <w:ind w:firstLine="480"/>
      </w:pPr>
      <w:r>
        <w:rPr>
          <w:rFonts w:hint="eastAsia"/>
        </w:rPr>
        <w:t>1、硬件故障的免费返厂维修服务，若无法维修则提供更换服务；</w:t>
      </w:r>
    </w:p>
    <w:p>
      <w:pPr>
        <w:pStyle w:val="12"/>
        <w:ind w:firstLine="480"/>
      </w:pPr>
      <w:r>
        <w:rPr>
          <w:rFonts w:hint="eastAsia"/>
        </w:rPr>
        <w:t>2、现支持申请确认后下一个工作日需到现场，承担工程师往返参旅相关费用；</w:t>
      </w:r>
    </w:p>
    <w:p>
      <w:pPr>
        <w:pStyle w:val="12"/>
        <w:ind w:firstLine="480"/>
      </w:pPr>
      <w:r>
        <w:rPr>
          <w:rFonts w:hint="eastAsia"/>
        </w:rPr>
        <w:t>3、返厂修时效≤5个工作日，承担往返相关运费；</w:t>
      </w:r>
    </w:p>
    <w:p>
      <w:pPr>
        <w:pStyle w:val="12"/>
        <w:ind w:firstLine="480"/>
      </w:pPr>
      <w:r>
        <w:rPr>
          <w:rFonts w:hint="eastAsia"/>
        </w:rPr>
        <w:t>4、提供7*24*4服务，备件4小时内到场；</w:t>
      </w:r>
    </w:p>
    <w:p>
      <w:pPr>
        <w:pStyle w:val="12"/>
        <w:ind w:firstLine="480"/>
      </w:pPr>
      <w:r>
        <w:rPr>
          <w:rFonts w:hint="eastAsia"/>
        </w:rPr>
        <w:t>5、提供应用识别库升级服务，基本软件版本升级维护服务；</w:t>
      </w:r>
    </w:p>
    <w:p>
      <w:pPr>
        <w:pStyle w:val="12"/>
        <w:ind w:firstLine="480"/>
        <w:rPr>
          <w:b/>
          <w:bCs/>
        </w:rPr>
      </w:pPr>
      <w:r>
        <w:rPr>
          <w:rFonts w:hint="eastAsia"/>
          <w:b/>
          <w:bCs/>
        </w:rPr>
        <w:t>5、两台硬件及软件服务延保</w:t>
      </w:r>
      <w:r>
        <w:rPr>
          <w:rFonts w:hint="eastAsia"/>
          <w:b/>
          <w:bCs/>
          <w:lang w:val="en-US" w:eastAsia="zh-CN"/>
        </w:rPr>
        <w:t>服务期：合同签订之日</w:t>
      </w:r>
      <w:r>
        <w:rPr>
          <w:rFonts w:hint="eastAsia"/>
          <w:b/>
          <w:bCs/>
        </w:rPr>
        <w:t>至2026年2月；</w:t>
      </w:r>
    </w:p>
    <w:p>
      <w:pPr>
        <w:ind w:firstLine="434" w:firstLineChars="181"/>
        <w:rPr>
          <w:rFonts w:hint="eastAsia" w:eastAsia="宋体"/>
          <w:bCs/>
          <w:szCs w:val="21"/>
          <w:lang w:eastAsia="zh-CN"/>
        </w:rPr>
      </w:pPr>
      <w:r>
        <w:rPr>
          <w:rFonts w:hint="eastAsia"/>
          <w:bCs/>
          <w:szCs w:val="21"/>
        </w:rPr>
        <w:t>安全模块功能</w:t>
      </w:r>
      <w:r>
        <w:rPr>
          <w:rFonts w:hint="eastAsia"/>
          <w:bCs/>
          <w:szCs w:val="21"/>
          <w:lang w:eastAsia="zh-CN"/>
        </w:rPr>
        <w:t>：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 xml:space="preserve">防火墙SG-6000-E3965 </w:t>
      </w:r>
      <w:r>
        <w:t>AV</w:t>
      </w:r>
      <w:r>
        <w:rPr>
          <w:rFonts w:hint="eastAsia"/>
        </w:rPr>
        <w:t>病毒库升级和维护服务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防火墙SG-6000-E3965 IPS升级和维护服务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防火墙SG-6000-E3965 僵尸网络C2检测防御和升级服务</w:t>
      </w:r>
    </w:p>
    <w:p>
      <w:pPr>
        <w:pStyle w:val="12"/>
        <w:numPr>
          <w:ilvl w:val="0"/>
          <w:numId w:val="1"/>
        </w:numPr>
        <w:ind w:firstLineChars="0"/>
        <w:rPr>
          <w:rFonts w:asciiTheme="minorHAnsi" w:hAnsiTheme="minorHAnsi"/>
          <w:b/>
          <w:bCs/>
        </w:rPr>
      </w:pPr>
      <w:r>
        <w:rPr>
          <w:rFonts w:hint="eastAsia" w:asciiTheme="minorHAnsi" w:hAnsiTheme="minorHAnsi"/>
          <w:b/>
          <w:bCs/>
        </w:rPr>
        <w:t>两台设备安全模块功能</w:t>
      </w:r>
      <w:r>
        <w:rPr>
          <w:rFonts w:hint="eastAsia" w:asciiTheme="minorHAnsi" w:hAnsiTheme="minorHAnsi"/>
          <w:b/>
          <w:bCs/>
          <w:lang w:val="en-US" w:eastAsia="zh-CN"/>
        </w:rPr>
        <w:t>服务期：</w:t>
      </w:r>
      <w:r>
        <w:rPr>
          <w:rFonts w:hint="eastAsia"/>
          <w:b/>
          <w:bCs/>
          <w:lang w:val="en-US" w:eastAsia="zh-CN"/>
        </w:rPr>
        <w:t>合同签订之日</w:t>
      </w:r>
      <w:r>
        <w:rPr>
          <w:rFonts w:hint="eastAsia"/>
          <w:b/>
          <w:bCs/>
        </w:rPr>
        <w:t>至2026年12月；</w:t>
      </w:r>
    </w:p>
    <w:p>
      <w:pPr>
        <w:spacing w:before="0" w:after="160" w:line="259" w:lineRule="auto"/>
        <w:ind w:firstLine="0" w:firstLineChars="0"/>
        <w:rPr>
          <w:rStyle w:val="20"/>
          <w:sz w:val="28"/>
          <w:szCs w:val="28"/>
        </w:rPr>
      </w:pPr>
    </w:p>
    <w:p>
      <w:pPr>
        <w:spacing w:before="0" w:after="160" w:line="259" w:lineRule="auto"/>
        <w:ind w:firstLine="0" w:firstLineChars="0"/>
        <w:rPr>
          <w:rFonts w:ascii="宋体" w:hAnsi="宋体" w:cs="宋体"/>
          <w:b/>
          <w:bCs/>
          <w:sz w:val="28"/>
          <w:szCs w:val="28"/>
          <w:lang w:val="zh-CN" w:bidi="zh-CN"/>
        </w:rPr>
      </w:pPr>
      <w:r>
        <w:rPr>
          <w:rStyle w:val="20"/>
          <w:rFonts w:hint="eastAsia"/>
          <w:sz w:val="28"/>
          <w:szCs w:val="28"/>
          <w:lang w:val="en-US" w:eastAsia="zh-CN"/>
        </w:rPr>
        <w:t>二、</w:t>
      </w:r>
      <w:r>
        <w:rPr>
          <w:rStyle w:val="20"/>
          <w:rFonts w:hint="eastAsia"/>
          <w:sz w:val="28"/>
          <w:szCs w:val="28"/>
        </w:rPr>
        <w:t>维保</w:t>
      </w:r>
      <w:r>
        <w:rPr>
          <w:rStyle w:val="20"/>
          <w:sz w:val="28"/>
          <w:szCs w:val="28"/>
        </w:rPr>
        <w:t>服务</w:t>
      </w:r>
      <w:r>
        <w:rPr>
          <w:rStyle w:val="20"/>
          <w:rFonts w:hint="eastAsia"/>
          <w:sz w:val="28"/>
          <w:szCs w:val="28"/>
        </w:rPr>
        <w:t>具体</w:t>
      </w:r>
      <w:r>
        <w:rPr>
          <w:rStyle w:val="20"/>
          <w:sz w:val="28"/>
          <w:szCs w:val="28"/>
        </w:rPr>
        <w:t>内容说明</w:t>
      </w:r>
    </w:p>
    <w:p>
      <w:pPr>
        <w:pStyle w:val="12"/>
        <w:ind w:firstLine="482"/>
        <w:rPr>
          <w:rStyle w:val="20"/>
        </w:rPr>
      </w:pPr>
      <w:r>
        <w:rPr>
          <w:rStyle w:val="20"/>
        </w:rPr>
        <w:t>现场支持服务</w:t>
      </w:r>
    </w:p>
    <w:p>
      <w:pPr>
        <w:pStyle w:val="12"/>
        <w:ind w:firstLine="480"/>
      </w:pPr>
      <w:r>
        <w:t>现场支持服务</w:t>
      </w:r>
      <w:r>
        <w:rPr>
          <w:rFonts w:hint="eastAsia"/>
        </w:rPr>
        <w:t>提供原厂持证工程师上门安装部署；</w:t>
      </w:r>
      <w:r>
        <w:t>不仅包括现场安装服务、现场故障定位、解决服务等传统的被动服务内容，还包括安全方案规划、设备健康检查、安全运营优化等主动服务项目。从而最大限度的降低设备及网络出现故障的几率，保障客户业务系统的高可用性和服务提供的连续性</w:t>
      </w:r>
      <w:r>
        <w:rPr>
          <w:rFonts w:hint="eastAsia"/>
        </w:rPr>
        <w:t>，现场巡检服务、配置保存服务。</w:t>
      </w:r>
    </w:p>
    <w:p>
      <w:pPr>
        <w:pStyle w:val="12"/>
        <w:ind w:firstLine="482"/>
        <w:rPr>
          <w:rStyle w:val="20"/>
        </w:rPr>
      </w:pPr>
      <w:r>
        <w:rPr>
          <w:rStyle w:val="20"/>
        </w:rPr>
        <w:t>设备巡检服务</w:t>
      </w:r>
    </w:p>
    <w:p>
      <w:pPr>
        <w:pStyle w:val="12"/>
        <w:ind w:firstLine="480"/>
      </w:pPr>
      <w:r>
        <w:t>除了设备例行巡检服务之外，在贵司用户重大业务活动之前，免费到现场对设备进行例行检查；对贵司用户所购设备进行现场巡检服务，及时发现并解决问题，并提交相应健康检查报告。</w:t>
      </w:r>
    </w:p>
    <w:p>
      <w:pPr>
        <w:pStyle w:val="12"/>
        <w:ind w:firstLine="482"/>
        <w:rPr>
          <w:rStyle w:val="20"/>
        </w:rPr>
      </w:pPr>
      <w:r>
        <w:rPr>
          <w:rStyle w:val="20"/>
        </w:rPr>
        <w:t>备件服务</w:t>
      </w:r>
    </w:p>
    <w:p>
      <w:pPr>
        <w:pStyle w:val="12"/>
        <w:ind w:firstLine="480"/>
      </w:pPr>
      <w:r>
        <w:t>致力于不断提升硬件可靠性，为客户提供高性能、高可靠性、易于使用的产品。但设备的可靠性受到多方面因素的影响，很难做到绝对的无故障。通过向客户提供不同等级的备件服务，会根据贵司用户自身业务系统的需求选择最合适的备件服务。</w:t>
      </w:r>
    </w:p>
    <w:p>
      <w:pPr>
        <w:pStyle w:val="12"/>
        <w:ind w:firstLine="482"/>
        <w:rPr>
          <w:rStyle w:val="20"/>
          <w:bCs w:val="0"/>
        </w:rPr>
      </w:pPr>
      <w:r>
        <w:rPr>
          <w:rStyle w:val="20"/>
          <w:bCs w:val="0"/>
        </w:rPr>
        <w:t>电话及远程技术支持服务</w:t>
      </w:r>
    </w:p>
    <w:p>
      <w:pPr>
        <w:ind w:firstLine="480"/>
      </w:pPr>
      <w:r>
        <w:t>对全网设备的故障修复、技术支持等所有技术服务要求实现一点受理的全网统一服务流程。山石网科设置7×24小时的热线值班电话、值班手机和值班mail信箱，专业化服务工程师统一受理全网的故障申告和技术支持等服务请求。</w:t>
      </w:r>
    </w:p>
    <w:p>
      <w:pPr>
        <w:numPr>
          <w:ilvl w:val="0"/>
          <w:numId w:val="2"/>
        </w:numPr>
        <w:spacing w:before="0" w:after="160" w:line="259" w:lineRule="auto"/>
        <w:ind w:firstLine="0" w:firstLineChars="0"/>
        <w:rPr>
          <w:rStyle w:val="20"/>
          <w:rFonts w:hint="eastAsia"/>
          <w:sz w:val="28"/>
          <w:szCs w:val="28"/>
          <w:lang w:val="en-US" w:eastAsia="zh-CN"/>
        </w:rPr>
      </w:pPr>
      <w:r>
        <w:rPr>
          <w:rStyle w:val="20"/>
          <w:rFonts w:hint="eastAsia"/>
          <w:sz w:val="28"/>
          <w:szCs w:val="28"/>
          <w:lang w:val="en-US" w:eastAsia="zh-CN"/>
        </w:rPr>
        <w:t>商务条款</w:t>
      </w:r>
    </w:p>
    <w:p>
      <w:pPr>
        <w:widowControl w:val="0"/>
        <w:spacing w:before="0" w:after="0" w:line="240" w:lineRule="auto"/>
        <w:ind w:firstLine="301" w:firstLineChars="100"/>
        <w:jc w:val="both"/>
        <w:rPr>
          <w:rFonts w:hint="eastAsia" w:ascii="Calibri" w:hAnsi="Calibri" w:cs="Times New Roman"/>
          <w:b/>
          <w:bCs/>
          <w:kern w:val="2"/>
          <w:sz w:val="30"/>
          <w:szCs w:val="30"/>
          <w:lang w:val="en-US" w:eastAsia="zh-CN"/>
        </w:rPr>
      </w:pPr>
      <w:r>
        <w:rPr>
          <w:rFonts w:hint="eastAsia" w:ascii="Calibri" w:hAnsi="Calibri" w:cs="Times New Roman"/>
          <w:b/>
          <w:bCs/>
          <w:kern w:val="2"/>
          <w:sz w:val="30"/>
          <w:szCs w:val="30"/>
          <w:lang w:val="en-US" w:eastAsia="zh-CN"/>
        </w:rPr>
        <w:t>1.本项目限价人民币190000元；</w:t>
      </w:r>
    </w:p>
    <w:p>
      <w:pPr>
        <w:widowControl w:val="0"/>
        <w:spacing w:before="0" w:after="0" w:line="240" w:lineRule="auto"/>
        <w:ind w:firstLine="300" w:firstLineChars="100"/>
        <w:jc w:val="both"/>
        <w:rPr>
          <w:rFonts w:hint="eastAsia" w:ascii="Calibri" w:hAnsi="Calibri" w:cs="Times New Roman"/>
          <w:kern w:val="2"/>
          <w:sz w:val="30"/>
          <w:szCs w:val="30"/>
          <w:lang w:val="en-US" w:eastAsia="zh-CN"/>
        </w:rPr>
      </w:pPr>
      <w:r>
        <w:rPr>
          <w:rFonts w:hint="eastAsia" w:ascii="Calibri" w:hAnsi="Calibri" w:cs="Times New Roman"/>
          <w:kern w:val="2"/>
          <w:sz w:val="30"/>
          <w:szCs w:val="30"/>
          <w:lang w:val="en-US" w:eastAsia="zh-CN"/>
        </w:rPr>
        <w:t>2.款项支付：</w:t>
      </w:r>
    </w:p>
    <w:p>
      <w:pPr>
        <w:widowControl w:val="0"/>
        <w:spacing w:before="0" w:after="0" w:line="240" w:lineRule="auto"/>
        <w:ind w:firstLine="0" w:firstLineChars="0"/>
        <w:jc w:val="both"/>
        <w:rPr>
          <w:rFonts w:hint="default" w:ascii="Calibri" w:hAnsi="Calibri" w:cs="Times New Roman"/>
          <w:kern w:val="2"/>
          <w:sz w:val="30"/>
          <w:szCs w:val="30"/>
          <w:lang w:val="en-US" w:eastAsia="zh-CN"/>
        </w:rPr>
      </w:pPr>
      <w:r>
        <w:rPr>
          <w:rFonts w:hint="eastAsia" w:ascii="Calibri" w:hAnsi="Calibri" w:cs="Times New Roman"/>
          <w:kern w:val="2"/>
          <w:sz w:val="30"/>
          <w:szCs w:val="30"/>
          <w:lang w:val="en-US" w:eastAsia="zh-CN"/>
        </w:rPr>
        <w:t xml:space="preserve">    2024年1</w:t>
      </w:r>
      <w:bookmarkStart w:id="0" w:name="_GoBack"/>
      <w:bookmarkEnd w:id="0"/>
      <w:r>
        <w:rPr>
          <w:rFonts w:hint="eastAsia" w:ascii="Calibri" w:hAnsi="Calibri" w:cs="Times New Roman"/>
          <w:kern w:val="2"/>
          <w:sz w:val="30"/>
          <w:szCs w:val="30"/>
          <w:lang w:val="en-US" w:eastAsia="zh-CN"/>
        </w:rPr>
        <w:t>月31日前将相关软件授权部署至甲方设备，完成首次巡检服务，出具相应报告后，中标人提供合同100%发票，报学校支付相应款项。</w:t>
      </w:r>
    </w:p>
    <w:p>
      <w:pPr>
        <w:numPr>
          <w:numId w:val="0"/>
        </w:numPr>
        <w:spacing w:before="0" w:after="160" w:line="259" w:lineRule="auto"/>
        <w:rPr>
          <w:rStyle w:val="20"/>
          <w:rFonts w:hint="default"/>
          <w:sz w:val="28"/>
          <w:szCs w:val="28"/>
          <w:lang w:val="en-US" w:eastAsia="zh-CN"/>
        </w:rPr>
      </w:pPr>
    </w:p>
    <w:p>
      <w:pPr>
        <w:tabs>
          <w:tab w:val="left" w:pos="1247"/>
          <w:tab w:val="left" w:pos="1248"/>
        </w:tabs>
        <w:spacing w:before="0" w:line="360" w:lineRule="auto"/>
        <w:ind w:firstLine="460"/>
        <w:rPr>
          <w:sz w:val="23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14" w:lineRule="auto"/>
      <w:ind w:firstLine="480"/>
      <w:rPr>
        <w:sz w:val="12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3656965</wp:posOffset>
              </wp:positionH>
              <wp:positionV relativeFrom="page">
                <wp:posOffset>9792970</wp:posOffset>
              </wp:positionV>
              <wp:extent cx="250190" cy="152400"/>
              <wp:effectExtent l="0" t="127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firstLine="48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95pt;margin-top:771.1pt;height:12pt;width:19.7pt;mso-position-horizontal-relative:page;mso-position-vertical-relative:page;z-index:-251657216;mso-width-relative:page;mso-height-relative:page;" filled="f" stroked="f" coordsize="21600,21600" o:gfxdata="UEsDBAoAAAAAAIdO4kAAAAAAAAAAAAAAAAAEAAAAZHJzL1BLAwQUAAAACACHTuJAk317pNsAAAAN&#10;AQAADwAAAGRycy9kb3ducmV2LnhtbE2Py07DMBBF90j8gzVI7KidQAINcSqEYFUJkYYFSyd2E6vx&#10;OMTug7/vdAXLmXt050y5OrmRHcwcrEcJyUIAM9h5bbGX8NW83z0BC1GhVqNHI+HXBFhV11elKrQ/&#10;Ym0Om9gzKsFQKAlDjFPBeegG41RY+MkgZVs/OxVpnHuuZ3WkcjfyVIicO2WRLgxqMq+D6XabvZPw&#10;8o31m/35aD/rbW2bZilwne+kvL1JxDOwaE7xD4aLPqlDRU6t36MObJSQPWZLQinIHtIUGCF5kt0D&#10;ay+rPE+BVyX//0V1BlBLAwQUAAAACACHTuJA9DGyFgwCAAAEBAAADgAAAGRycy9lMm9Eb2MueG1s&#10;rVPNjtMwEL4j8Q6W7zRpRRFETVfLVouQlh9p4QGmjtNYJB4zdpuUB4A34MSFO8/V52DstGVZLnvg&#10;Yo3t8Tff9814cTF0rdhp8gZtKaeTXAptFVbGbkr58cP1k+dS+AC2ghatLuVee3mxfPxo0btCz7DB&#10;ttIkGMT6onelbEJwRZZ51egO/ASdtnxZI3UQeEubrCLoGb1rs1meP8t6pMoRKu09n67GS3lEpIcA&#10;Yl0bpVeotp22YUQl3UJgSb4xzstlYlvXWoV3de11EG0pWWlIKxfheB3XbLmAYkPgGqOOFOAhFO5p&#10;6sBYLnqGWkEAsSXzD1RnFKHHOkwUdtkoJDnCKqb5PW9uG3A6aWGrvTub7v8frHq7e0/CVKWcS2Gh&#10;44Yfvn87/Ph1+PlVzKM9vfMFZ906zgvDSxx4aJJU725QffLC4lUDdqMvibBvNFRMbxpfZneejjg+&#10;gqz7N1hxHdgGTEBDTV30jt0QjM6t2Z9bo4cgFB/O5vn0Bd8ovprOZ0/z1LoMitNjRz680tiJGJSS&#10;uPMJHHY3PkQyUJxSYi2L16ZtU/db+9cBJ8aTRD7yHZmHYT0czVhjtWcZhOMw8VfioEH6IkXPg1RK&#10;/3kLpKVoX1u2Ik7dKaBTsD4FYBU/LWWQYgyvwjidW0dm0zDyaLbFS7arNklK9HVkceTJw5EUHgc5&#10;Tt/dfcr683m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TfXuk2wAAAA0BAAAPAAAAAAAAAAEA&#10;IAAAACIAAABkcnMvZG93bnJldi54bWxQSwECFAAUAAAACACHTuJA9DGyFgwCAAAEBAAADgAAAAAA&#10;AAABACAAAAAq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firstLine="48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81B5C"/>
    <w:multiLevelType w:val="singleLevel"/>
    <w:tmpl w:val="4A881B5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C97D0B"/>
    <w:multiLevelType w:val="multilevel"/>
    <w:tmpl w:val="5BC97D0B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 w:ascii="宋体" w:hAnsi="宋体" w:eastAsia="宋体"/>
        <w:b w:val="0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WQxZGI1NWMzMmUxZTE2MTZmMDFkODdiYTlkNWMifQ=="/>
  </w:docVars>
  <w:rsids>
    <w:rsidRoot w:val="00B3410F"/>
    <w:rsid w:val="000336EC"/>
    <w:rsid w:val="000C10E3"/>
    <w:rsid w:val="001B3B1E"/>
    <w:rsid w:val="00241937"/>
    <w:rsid w:val="0024622E"/>
    <w:rsid w:val="00253787"/>
    <w:rsid w:val="0027679A"/>
    <w:rsid w:val="002B2EBF"/>
    <w:rsid w:val="00302F3A"/>
    <w:rsid w:val="0034407F"/>
    <w:rsid w:val="003A3C03"/>
    <w:rsid w:val="004245CF"/>
    <w:rsid w:val="00447557"/>
    <w:rsid w:val="00470704"/>
    <w:rsid w:val="004B028A"/>
    <w:rsid w:val="00547333"/>
    <w:rsid w:val="005A6322"/>
    <w:rsid w:val="005C3F6A"/>
    <w:rsid w:val="005D73B4"/>
    <w:rsid w:val="006027EF"/>
    <w:rsid w:val="00645A53"/>
    <w:rsid w:val="00690031"/>
    <w:rsid w:val="00691184"/>
    <w:rsid w:val="006C0B87"/>
    <w:rsid w:val="006E0D15"/>
    <w:rsid w:val="006E434B"/>
    <w:rsid w:val="007074E3"/>
    <w:rsid w:val="00710465"/>
    <w:rsid w:val="00781461"/>
    <w:rsid w:val="007B5219"/>
    <w:rsid w:val="00827BE9"/>
    <w:rsid w:val="0090083C"/>
    <w:rsid w:val="009266A0"/>
    <w:rsid w:val="009317E8"/>
    <w:rsid w:val="009B55A1"/>
    <w:rsid w:val="009C736A"/>
    <w:rsid w:val="009D2447"/>
    <w:rsid w:val="00A22BAF"/>
    <w:rsid w:val="00A27A7B"/>
    <w:rsid w:val="00A32CF0"/>
    <w:rsid w:val="00A72F30"/>
    <w:rsid w:val="00A81489"/>
    <w:rsid w:val="00AD155B"/>
    <w:rsid w:val="00AE3CFE"/>
    <w:rsid w:val="00AF01B9"/>
    <w:rsid w:val="00AF4F61"/>
    <w:rsid w:val="00B14330"/>
    <w:rsid w:val="00B3410F"/>
    <w:rsid w:val="00B4552F"/>
    <w:rsid w:val="00B95C2A"/>
    <w:rsid w:val="00BC08CA"/>
    <w:rsid w:val="00BE59D9"/>
    <w:rsid w:val="00C12392"/>
    <w:rsid w:val="00C965F5"/>
    <w:rsid w:val="00D00CA2"/>
    <w:rsid w:val="00D30319"/>
    <w:rsid w:val="00D66463"/>
    <w:rsid w:val="00DC2AEC"/>
    <w:rsid w:val="00DD00A4"/>
    <w:rsid w:val="00DE4289"/>
    <w:rsid w:val="00EA338A"/>
    <w:rsid w:val="00EA41C7"/>
    <w:rsid w:val="00ED7F07"/>
    <w:rsid w:val="00F4755E"/>
    <w:rsid w:val="00F71BAB"/>
    <w:rsid w:val="00FE39A6"/>
    <w:rsid w:val="0C7D6236"/>
    <w:rsid w:val="26792211"/>
    <w:rsid w:val="4FB23171"/>
    <w:rsid w:val="615C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120" w:after="120" w:line="240" w:lineRule="auto"/>
      <w:ind w:firstLine="200" w:firstLineChars="200"/>
    </w:pPr>
    <w:rPr>
      <w:rFonts w:eastAsia="宋体" w:asciiTheme="minorHAnsi" w:hAnsiTheme="minorHAnsi" w:cstheme="minorBidi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pBdr>
        <w:bottom w:val="single" w:color="auto" w:sz="4" w:space="1"/>
      </w:pBdr>
      <w:spacing w:before="32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32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40" w:after="50" w:afterLines="50"/>
      <w:outlineLvl w:val="1"/>
    </w:pPr>
    <w:rPr>
      <w:rFonts w:asciiTheme="majorHAnsi" w:hAnsiTheme="majorHAnsi" w:eastAsiaTheme="majorEastAsia" w:cstheme="majorBidi"/>
      <w:color w:val="2F5597" w:themeColor="accent1" w:themeShade="BF"/>
      <w:szCs w:val="28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40" w:after="50" w:afterLines="50"/>
      <w:outlineLvl w:val="2"/>
    </w:pPr>
    <w:rPr>
      <w:rFonts w:asciiTheme="majorHAnsi" w:hAnsiTheme="majorHAnsi" w:eastAsiaTheme="majorEastAsia" w:cstheme="majorBidi"/>
      <w:color w:val="203864" w:themeColor="accent1" w:themeShade="80"/>
      <w:szCs w:val="24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40" w:after="0"/>
      <w:outlineLvl w:val="3"/>
    </w:pPr>
    <w:rPr>
      <w:i/>
      <w:iCs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4"/>
    </w:pPr>
    <w:rPr>
      <w:color w:val="2F5597" w:themeColor="accent1" w:themeShade="BF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color w:val="203864" w:themeColor="accent1" w:themeShade="80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Body Text"/>
    <w:basedOn w:val="1"/>
    <w:link w:val="48"/>
    <w:qFormat/>
    <w:uiPriority w:val="1"/>
    <w:pPr>
      <w:widowControl w:val="0"/>
      <w:autoSpaceDE w:val="0"/>
      <w:autoSpaceDN w:val="0"/>
      <w:spacing w:after="0"/>
    </w:pPr>
    <w:rPr>
      <w:rFonts w:ascii="宋体" w:hAnsi="宋体" w:cs="宋体"/>
      <w:szCs w:val="24"/>
      <w:lang w:val="zh-CN" w:bidi="zh-CN"/>
    </w:rPr>
  </w:style>
  <w:style w:type="paragraph" w:styleId="13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ind w:firstLine="200" w:firstLineChars="200"/>
    </w:pPr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2"/>
    <w:qFormat/>
    <w:uiPriority w:val="10"/>
    <w:pPr>
      <w:spacing w:after="0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18">
    <w:name w:val="Table Grid"/>
    <w:basedOn w:val="1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  <w:color w:val="auto"/>
    </w:rPr>
  </w:style>
  <w:style w:type="character" w:styleId="21">
    <w:name w:val="Emphasis"/>
    <w:basedOn w:val="19"/>
    <w:qFormat/>
    <w:uiPriority w:val="20"/>
    <w:rPr>
      <w:i/>
      <w:iCs/>
      <w:color w:val="auto"/>
    </w:rPr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32"/>
    </w:rPr>
  </w:style>
  <w:style w:type="character" w:customStyle="1" w:styleId="24">
    <w:name w:val="标题 2 Char"/>
    <w:basedOn w:val="19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28"/>
      <w:szCs w:val="28"/>
    </w:rPr>
  </w:style>
  <w:style w:type="character" w:customStyle="1" w:styleId="25">
    <w:name w:val="标题 3 Char"/>
    <w:basedOn w:val="19"/>
    <w:link w:val="4"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6">
    <w:name w:val="标题 4 Char"/>
    <w:basedOn w:val="19"/>
    <w:link w:val="5"/>
    <w:uiPriority w:val="9"/>
    <w:rPr>
      <w:i/>
      <w:iCs/>
    </w:rPr>
  </w:style>
  <w:style w:type="character" w:customStyle="1" w:styleId="27">
    <w:name w:val="标题 5 Char"/>
    <w:basedOn w:val="19"/>
    <w:link w:val="6"/>
    <w:semiHidden/>
    <w:qFormat/>
    <w:uiPriority w:val="9"/>
    <w:rPr>
      <w:color w:val="2F5597" w:themeColor="accent1" w:themeShade="BF"/>
    </w:rPr>
  </w:style>
  <w:style w:type="character" w:customStyle="1" w:styleId="28">
    <w:name w:val="标题 6 Char"/>
    <w:basedOn w:val="19"/>
    <w:link w:val="7"/>
    <w:semiHidden/>
    <w:qFormat/>
    <w:uiPriority w:val="9"/>
    <w:rPr>
      <w:color w:val="203864" w:themeColor="accent1" w:themeShade="80"/>
    </w:rPr>
  </w:style>
  <w:style w:type="character" w:customStyle="1" w:styleId="29">
    <w:name w:val="标题 7 Char"/>
    <w:basedOn w:val="19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30">
    <w:name w:val="标题 8 Char"/>
    <w:basedOn w:val="19"/>
    <w:link w:val="9"/>
    <w:semiHidden/>
    <w:uiPriority w:val="9"/>
    <w:rPr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9 Char"/>
    <w:basedOn w:val="19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3">
    <w:name w:val="副标题 Char"/>
    <w:basedOn w:val="19"/>
    <w:link w:val="15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No Spacing"/>
    <w:link w:val="35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5">
    <w:name w:val="无间隔 Char"/>
    <w:basedOn w:val="19"/>
    <w:link w:val="34"/>
    <w:uiPriority w:val="1"/>
  </w:style>
  <w:style w:type="paragraph" w:styleId="36">
    <w:name w:val="Quote"/>
    <w:basedOn w:val="1"/>
    <w:next w:val="1"/>
    <w:link w:val="37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Char"/>
    <w:basedOn w:val="19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Char"/>
    <w:basedOn w:val="19"/>
    <w:link w:val="38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0">
    <w:name w:val="Subtle Emphasis"/>
    <w:basedOn w:val="1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9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9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Intense Reference"/>
    <w:basedOn w:val="19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9"/>
    <w:qFormat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页眉 Char"/>
    <w:basedOn w:val="19"/>
    <w:link w:val="14"/>
    <w:qFormat/>
    <w:uiPriority w:val="99"/>
    <w:rPr>
      <w:sz w:val="18"/>
      <w:szCs w:val="18"/>
    </w:rPr>
  </w:style>
  <w:style w:type="character" w:customStyle="1" w:styleId="47">
    <w:name w:val="页脚 Char"/>
    <w:basedOn w:val="19"/>
    <w:link w:val="13"/>
    <w:qFormat/>
    <w:uiPriority w:val="99"/>
    <w:rPr>
      <w:sz w:val="18"/>
      <w:szCs w:val="18"/>
    </w:rPr>
  </w:style>
  <w:style w:type="character" w:customStyle="1" w:styleId="48">
    <w:name w:val="正文文本 Char"/>
    <w:basedOn w:val="19"/>
    <w:link w:val="12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49">
    <w:name w:val="List Paragraph"/>
    <w:basedOn w:val="1"/>
    <w:link w:val="53"/>
    <w:qFormat/>
    <w:uiPriority w:val="1"/>
    <w:pPr>
      <w:widowControl w:val="0"/>
      <w:autoSpaceDE w:val="0"/>
      <w:autoSpaceDN w:val="0"/>
      <w:spacing w:before="161" w:after="0"/>
      <w:ind w:left="1020" w:hanging="421"/>
    </w:pPr>
    <w:rPr>
      <w:rFonts w:ascii="宋体" w:hAnsi="宋体" w:cs="宋体"/>
      <w:lang w:val="zh-CN" w:bidi="zh-CN"/>
    </w:rPr>
  </w:style>
  <w:style w:type="table" w:customStyle="1" w:styleId="50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Paragraph"/>
    <w:basedOn w:val="1"/>
    <w:qFormat/>
    <w:uiPriority w:val="1"/>
    <w:pPr>
      <w:widowControl w:val="0"/>
      <w:autoSpaceDE w:val="0"/>
      <w:autoSpaceDN w:val="0"/>
      <w:spacing w:after="0"/>
    </w:pPr>
    <w:rPr>
      <w:rFonts w:ascii="宋体" w:hAnsi="宋体" w:cs="宋体"/>
      <w:lang w:val="zh-CN" w:bidi="zh-CN"/>
    </w:rPr>
  </w:style>
  <w:style w:type="table" w:customStyle="1" w:styleId="52">
    <w:name w:val="Grid Table 4 Accent 1"/>
    <w:basedOn w:val="17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character" w:customStyle="1" w:styleId="53">
    <w:name w:val="列出段落 Char"/>
    <w:link w:val="49"/>
    <w:qFormat/>
    <w:uiPriority w:val="1"/>
    <w:rPr>
      <w:rFonts w:ascii="宋体" w:hAnsi="宋体" w:eastAsia="宋体" w:cs="宋体"/>
      <w:sz w:val="28"/>
      <w:lang w:val="zh-CN" w:bidi="zh-CN"/>
    </w:rPr>
  </w:style>
  <w:style w:type="character" w:customStyle="1" w:styleId="54">
    <w:name w:val="Unresolved Mention"/>
    <w:basedOn w:val="1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765</Words>
  <Characters>835</Characters>
  <Lines>5</Lines>
  <Paragraphs>1</Paragraphs>
  <TotalTime>1</TotalTime>
  <ScaleCrop>false</ScaleCrop>
  <LinksUpToDate>false</LinksUpToDate>
  <CharactersWithSpaces>841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2023-11-26T12:30:00Z</dcterms:created>
  <dc:creator>ls</dc:creator>
  <cp:lastModifiedBy>郑怀宇</cp:lastModifiedBy>
  <dcterms:modified xsi:type="dcterms:W3CDTF">2023-11-27T02:17:09Z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1A95A7C7B96C4356A400CD4FB5008657</vt:lpwstr>
  </property>
</Properties>
</file>