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、询价单一式四份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napToGrid w:val="0"/>
        <w:spacing w:after="50" w:afterLines="50" w:line="312" w:lineRule="auto"/>
        <w:jc w:val="center"/>
        <w:rPr>
          <w:rFonts w:hint="default" w:ascii="Calibri" w:hAnsi="Calibri" w:eastAsia="微软雅黑" w:cs="Times New Roman"/>
          <w:snapToGrid/>
          <w:sz w:val="44"/>
          <w:szCs w:val="4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44"/>
          <w:szCs w:val="44"/>
          <w:lang w:val="en-US" w:eastAsia="zh-CN"/>
        </w:rPr>
        <w:t>科研原始数据管理系统需求</w:t>
      </w:r>
    </w:p>
    <w:p>
      <w:pPr>
        <w:keepNext/>
        <w:keepLines/>
        <w:numPr>
          <w:ilvl w:val="0"/>
          <w:numId w:val="0"/>
        </w:numPr>
        <w:tabs>
          <w:tab w:val="left" w:pos="0"/>
        </w:tabs>
        <w:bidi w:val="0"/>
        <w:spacing w:before="50" w:beforeLines="50" w:line="288" w:lineRule="auto"/>
        <w:ind w:leftChars="0"/>
        <w:outlineLvl w:val="0"/>
        <w:rPr>
          <w:rFonts w:hint="default" w:ascii="Arial" w:hAnsi="Arial" w:eastAsia="微软雅黑" w:cs="Times New Roman"/>
          <w:b/>
          <w:bCs/>
          <w:kern w:val="44"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bCs/>
          <w:kern w:val="44"/>
          <w:sz w:val="24"/>
          <w:lang w:val="en-US" w:eastAsia="zh-CN"/>
        </w:rPr>
        <w:t>品目一 科研原始数据管理系统  1套</w:t>
      </w:r>
    </w:p>
    <w:p>
      <w:pPr>
        <w:numPr>
          <w:ilvl w:val="1"/>
          <w:numId w:val="4"/>
        </w:numPr>
        <w:tabs>
          <w:tab w:val="left" w:pos="0"/>
        </w:tabs>
        <w:bidi w:val="0"/>
        <w:spacing w:before="50" w:after="50"/>
        <w:ind w:left="567" w:hanging="567"/>
        <w:outlineLvl w:val="1"/>
        <w:rPr>
          <w:rFonts w:hint="default" w:ascii="Arial" w:hAnsi="Arial" w:eastAsia="微软雅黑" w:cs="Times New Roman"/>
          <w:b/>
          <w:kern w:val="2"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lang w:val="en-US" w:eastAsia="zh-CN"/>
        </w:rPr>
        <w:t>基础功能模块要求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用户登录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eastAsia" w:ascii="微软雅黑" w:hAnsi="微软雅黑" w:eastAsia="微软雅黑" w:cs="微软雅黑"/>
          <w:snapToGrid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sz w:val="24"/>
          <w:lang w:val="en-US" w:eastAsia="zh-CN"/>
        </w:rPr>
        <w:t>登录界面简洁明了，包含用户名输入框、密码输入框和登录按钮。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eastAsia" w:ascii="微软雅黑" w:hAnsi="微软雅黑" w:eastAsia="微软雅黑" w:cs="微软雅黑"/>
          <w:snapToGrid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sz w:val="24"/>
          <w:lang w:val="en-US" w:eastAsia="zh-CN"/>
        </w:rPr>
        <w:t>登陆界面展示学校logo、系统logo和系统相关说明文字。</w:t>
      </w:r>
    </w:p>
    <w:p>
      <w:pPr>
        <w:numPr>
          <w:ilvl w:val="3"/>
          <w:numId w:val="4"/>
        </w:numPr>
        <w:bidi w:val="0"/>
        <w:ind w:left="850" w:hanging="850"/>
        <w:outlineLvl w:val="3"/>
        <w:rPr>
          <w:rFonts w:hint="default" w:ascii="Arial" w:hAnsi="Arial" w:eastAsia="微软雅黑" w:cs="Times New Roman"/>
          <w:b/>
          <w:sz w:val="24"/>
          <w:lang w:val="en-US" w:eastAsia="zh-CN"/>
        </w:rPr>
      </w:pPr>
      <w:r>
        <w:rPr>
          <w:rFonts w:hint="default" w:ascii="Arial" w:hAnsi="Arial" w:eastAsia="微软雅黑" w:cs="Times New Roman"/>
          <w:b/>
          <w:sz w:val="24"/>
          <w:lang w:val="en-US" w:eastAsia="zh-CN"/>
        </w:rPr>
        <w:t>用户名和密码输入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对接学校统一身份认证系统，同时支持本地账号登陆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。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密码输入框可设置为密码隐藏状态，以保护用户隐私。</w:t>
      </w:r>
    </w:p>
    <w:p>
      <w:pPr>
        <w:numPr>
          <w:ilvl w:val="3"/>
          <w:numId w:val="4"/>
        </w:numPr>
        <w:bidi w:val="0"/>
        <w:ind w:left="850" w:hanging="850"/>
        <w:outlineLvl w:val="3"/>
        <w:rPr>
          <w:rFonts w:hint="eastAsia" w:ascii="Arial" w:hAnsi="Arial" w:eastAsia="微软雅黑" w:cs="Times New Roman"/>
          <w:b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sz w:val="24"/>
          <w:lang w:val="en-US" w:eastAsia="zh-CN"/>
        </w:rPr>
        <w:t>登录验证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用户点击登录按钮后，对输入的用户名和密码进行验证。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若用户名或密码错误，系统应显示相应的错误提示信息。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若用户名和密码正确，系统根据用户的角色和权限，跳转到相应的操作界面。</w:t>
      </w:r>
    </w:p>
    <w:p>
      <w:pPr>
        <w:numPr>
          <w:ilvl w:val="3"/>
          <w:numId w:val="4"/>
        </w:numPr>
        <w:bidi w:val="0"/>
        <w:ind w:left="850" w:hanging="850"/>
        <w:outlineLvl w:val="3"/>
        <w:rPr>
          <w:rFonts w:hint="default" w:ascii="Arial" w:hAnsi="Arial" w:eastAsia="微软雅黑" w:cs="Times New Roman"/>
          <w:b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sz w:val="24"/>
          <w:lang w:val="en-US" w:eastAsia="zh-CN"/>
        </w:rPr>
        <w:t>登录失败处理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若用户连续多次登录失败，系统可采取相应措施。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用户可通过联系管理员重置密码。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bookmarkStart w:id="0" w:name="_Toc9123"/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短信验证码登录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240" w:firstLineChars="100"/>
        <w:textAlignment w:val="auto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bookmarkStart w:id="1" w:name="_GoBack"/>
      <w:bookmarkEnd w:id="1"/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用户在输入正确的用户名后，通过接收并输入短信验证码来完成登录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。</w:t>
      </w:r>
    </w:p>
    <w:p>
      <w:pPr>
        <w:numPr>
          <w:ilvl w:val="3"/>
          <w:numId w:val="4"/>
        </w:numPr>
        <w:bidi w:val="0"/>
        <w:ind w:left="850" w:hanging="850"/>
        <w:outlineLvl w:val="3"/>
        <w:rPr>
          <w:rFonts w:hint="default" w:ascii="Arial" w:hAnsi="Arial" w:eastAsia="微软雅黑" w:cs="Times New Roman"/>
          <w:b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sz w:val="24"/>
          <w:lang w:val="en-US" w:eastAsia="zh-CN"/>
        </w:rPr>
        <w:t>手机号码输入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设计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在用户名输入框中输入已注册的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手机号码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。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系统将对输入的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手机号码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进行验证，确保其在系统中存在。</w:t>
      </w:r>
    </w:p>
    <w:p>
      <w:pPr>
        <w:numPr>
          <w:ilvl w:val="3"/>
          <w:numId w:val="4"/>
        </w:numPr>
        <w:bidi w:val="0"/>
        <w:ind w:left="850" w:hanging="850"/>
        <w:outlineLvl w:val="3"/>
        <w:rPr>
          <w:rFonts w:hint="eastAsia" w:ascii="Arial" w:hAnsi="Arial" w:eastAsia="微软雅黑" w:cs="Times New Roman"/>
          <w:b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sz w:val="24"/>
          <w:lang w:val="en-US" w:eastAsia="zh-CN"/>
        </w:rPr>
        <w:t>短信验证码发送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对接学校短信网关，向用户留存手机号码发送一条包含验证码的短信。验证码5分钟内有效，以防止验证码被滥用。</w:t>
      </w:r>
    </w:p>
    <w:p>
      <w:pPr>
        <w:numPr>
          <w:ilvl w:val="3"/>
          <w:numId w:val="4"/>
        </w:numPr>
        <w:bidi w:val="0"/>
        <w:ind w:left="850" w:hanging="850"/>
        <w:outlineLvl w:val="3"/>
        <w:rPr>
          <w:rFonts w:hint="eastAsia" w:ascii="Arial" w:hAnsi="Arial" w:eastAsia="微软雅黑" w:cs="Times New Roman"/>
          <w:b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sz w:val="24"/>
          <w:lang w:val="en-US" w:eastAsia="zh-CN"/>
        </w:rPr>
        <w:t>验证码输入与验证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在验证码输入框中输入收到的短信验证码，对输入的验证码进行验证。</w:t>
      </w:r>
    </w:p>
    <w:p>
      <w:pPr>
        <w:numPr>
          <w:ilvl w:val="3"/>
          <w:numId w:val="4"/>
        </w:numPr>
        <w:bidi w:val="0"/>
        <w:ind w:left="850" w:hanging="850"/>
        <w:outlineLvl w:val="3"/>
        <w:rPr>
          <w:rFonts w:hint="default" w:ascii="Arial" w:hAnsi="Arial" w:eastAsia="微软雅黑" w:cs="Times New Roman"/>
          <w:b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sz w:val="24"/>
          <w:lang w:val="en-US" w:eastAsia="zh-CN"/>
        </w:rPr>
        <w:t>短信验证码限制</w:t>
      </w:r>
    </w:p>
    <w:p>
      <w:pPr>
        <w:numPr>
          <w:ilvl w:val="0"/>
          <w:numId w:val="0"/>
        </w:numPr>
        <w:snapToGrid w:val="0"/>
        <w:spacing w:after="50" w:afterLines="50" w:line="312" w:lineRule="auto"/>
        <w:ind w:leftChars="0" w:firstLine="240" w:firstLineChars="100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设置短信验证码的发送次数限制和发送间隔限制。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用户管理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提供管理平台用户创建、删除、修改、导入、导出、重置密码登功能，管理员可根据实际需要创建不同角色管理员。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菜单管理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管理员可以根据实际需求，通过菜单管理模块添加、删除、修改菜单项，调整菜单的显示顺序和层级关系。同时，该模块应支持菜单的权限设置，管理员可以为不同的角色分配不同的菜单访问权限，实现个性化的操作界面和权限控制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角色管理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管理员可以在角色管理模块中定义不同的角色，并为每个角色分配相应的权限。包括菜单访问权限、数据操作权限等，确保不同角色的用户只能访问和操作其被授权的资源。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组织机构管理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管理员可以在该模块中创建、修改和删除组织机构，设置组织机构之间的关系和层级结构，系统根据组织机构关系实现数据隔离。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日志管理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分为操作日志和登录日志两部分，记录用户对系统的所有操作行为和登录信息。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操作日志记录用户对数据的增删改查等操作，包括操作时间、操作内容、操作人等信息，便于追踪和审计用户的操作行为。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登录日志记录用户的登录信息，包括登录时间、登录IP、登录状态等，帮助管理员监控用户的登录行为，及时发现和处理非法访问和异常登录情况。</w:t>
      </w:r>
    </w:p>
    <w:p>
      <w:pPr>
        <w:numPr>
          <w:ilvl w:val="1"/>
          <w:numId w:val="4"/>
        </w:numPr>
        <w:tabs>
          <w:tab w:val="left" w:pos="0"/>
        </w:tabs>
        <w:bidi w:val="0"/>
        <w:spacing w:before="50" w:after="50"/>
        <w:ind w:left="567" w:hanging="567"/>
        <w:outlineLvl w:val="1"/>
        <w:rPr>
          <w:rFonts w:hint="eastAsia" w:ascii="Arial" w:hAnsi="Arial" w:eastAsia="微软雅黑" w:cs="Times New Roman"/>
          <w:b/>
          <w:kern w:val="2"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lang w:val="en-US" w:eastAsia="zh-CN"/>
        </w:rPr>
        <w:t>业务功能模块要求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科研项目信息管理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提供科研项目基本信息的录入和管理功能。管理员可以在该模块中创建新的科研项目，填写项目的基本信息。同时，用户可以对已有的项目进行编辑、查询和删除操作。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材料中心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材料中心模块负责科研项目阶段、最终成果的上传、查看和管理。项目管理员可以在该模块中上传各类科研材料，如实验数据、研究报告、图片视频等。同时模块还要求提供材料的分类和检索功能，用户可以根据不同的分类和关键词快速查找和定位所需的材料。要求用户可以申请对自有已上传材料的重传或补传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材料审批中心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ascii="Calibri" w:hAnsi="Calibri" w:eastAsia="微软雅黑" w:cs="Times New Roman"/>
          <w:snapToGrid/>
          <w:sz w:val="24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需提供清晰、直观的操作界面，使超级管理员能够轻松浏览和定位各项目组提交的申请。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可以迅速了解待审批申请的数量、类型以及申请来源等关键信息。在审批过程中，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拥有多种操作权限，包括批准、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驳回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或退回修改等。可以根据申请的实际情况和合规性要求，灵活选择相应的操作。同时支持管理员填写审批意见，为申请人提供明确的指导和建议。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审批结果和意见应自动通知申请人。此外，模块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严格控制角色与权限，确保只有超级管理员能够访问和使用。</w:t>
      </w:r>
    </w:p>
    <w:p>
      <w:pPr>
        <w:numPr>
          <w:ilvl w:val="1"/>
          <w:numId w:val="4"/>
        </w:numPr>
        <w:tabs>
          <w:tab w:val="left" w:pos="0"/>
        </w:tabs>
        <w:bidi w:val="0"/>
        <w:spacing w:before="50" w:after="50"/>
        <w:ind w:left="567" w:hanging="567"/>
        <w:outlineLvl w:val="1"/>
        <w:rPr>
          <w:rFonts w:hint="default" w:ascii="Arial" w:hAnsi="Arial" w:eastAsia="微软雅黑" w:cs="Times New Roman"/>
          <w:b/>
          <w:kern w:val="2"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lang w:val="en-US" w:eastAsia="zh-CN"/>
        </w:rPr>
        <w:t>数据存储</w:t>
      </w:r>
    </w:p>
    <w:p>
      <w:pPr>
        <w:numPr>
          <w:ilvl w:val="2"/>
          <w:numId w:val="4"/>
        </w:numPr>
        <w:tabs>
          <w:tab w:val="left" w:pos="0"/>
        </w:tabs>
        <w:bidi w:val="0"/>
        <w:ind w:left="709" w:hanging="709"/>
        <w:outlineLvl w:val="2"/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API对接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系统与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品目二分布式存储系统实现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无缝对接，设计API接口来实现数据的上传和访问。</w:t>
      </w:r>
    </w:p>
    <w:p>
      <w:pPr>
        <w:numPr>
          <w:ilvl w:val="2"/>
          <w:numId w:val="4"/>
        </w:numPr>
        <w:tabs>
          <w:tab w:val="left" w:pos="0"/>
        </w:tabs>
        <w:bidi w:val="0"/>
        <w:ind w:left="709" w:hanging="709"/>
        <w:outlineLvl w:val="2"/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数据上传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通过API接口，可以将科研项目中的各种材料上传至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分布式存储系统上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。上传接口支持多种文件格式，如PDF、DOCX、XLSX、JPEG、PNG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、视频及其他科研文件格式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等。每次上传时，用户需提供文件所属信息，以便对上传的材料进行分类和管理。上传操作需要经过身份认证，确保只有授权用户才能进行上传操作。</w:t>
      </w:r>
    </w:p>
    <w:p>
      <w:pPr>
        <w:numPr>
          <w:ilvl w:val="2"/>
          <w:numId w:val="4"/>
        </w:numPr>
        <w:tabs>
          <w:tab w:val="left" w:pos="0"/>
        </w:tabs>
        <w:bidi w:val="0"/>
        <w:ind w:left="709" w:hanging="709"/>
        <w:outlineLvl w:val="2"/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上传错误处理及异常管理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AP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I要求具备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完善的错误处理机制。每个接口请求都会返回统一的错误码和错误信息。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异常捕获和日志记录功能，详细记录每次接口调用的情况和可能出现的异常，便于后续的调试和维护。对于一些临时性错误，如网络中断或超时，系统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具备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重试机制，确保数据上传和访问的高成功率。</w:t>
      </w:r>
    </w:p>
    <w:p>
      <w:pPr>
        <w:numPr>
          <w:ilvl w:val="1"/>
          <w:numId w:val="4"/>
        </w:numPr>
        <w:tabs>
          <w:tab w:val="left" w:pos="0"/>
        </w:tabs>
        <w:bidi w:val="0"/>
        <w:spacing w:before="50" w:after="50"/>
        <w:ind w:left="567" w:hanging="567"/>
        <w:outlineLvl w:val="1"/>
        <w:rPr>
          <w:rFonts w:hint="default" w:ascii="Arial" w:hAnsi="Arial" w:eastAsia="微软雅黑" w:cs="Times New Roman"/>
          <w:b/>
          <w:kern w:val="2"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lang w:val="en-US" w:eastAsia="zh-CN"/>
        </w:rPr>
        <w:t>运行环境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0" w:afterLines="50" w:line="360" w:lineRule="auto"/>
        <w:ind w:firstLine="480" w:firstLineChars="200"/>
        <w:textAlignment w:val="auto"/>
        <w:rPr>
          <w:rFonts w:hint="eastAsia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系统支持超融合、虚拟机或者物理机部署，支持信创服务器（海光）和国产操作系统（统信）部署。</w:t>
      </w:r>
    </w:p>
    <w:p>
      <w:pPr>
        <w:numPr>
          <w:ilvl w:val="1"/>
          <w:numId w:val="4"/>
        </w:numPr>
        <w:tabs>
          <w:tab w:val="left" w:pos="0"/>
        </w:tabs>
        <w:bidi w:val="0"/>
        <w:spacing w:before="50" w:after="50"/>
        <w:ind w:left="567" w:hanging="567"/>
        <w:outlineLvl w:val="1"/>
        <w:rPr>
          <w:rFonts w:hint="default" w:ascii="Arial" w:hAnsi="Arial" w:eastAsia="微软雅黑" w:cs="Times New Roman"/>
          <w:b/>
          <w:kern w:val="2"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kern w:val="2"/>
          <w:sz w:val="24"/>
          <w:lang w:val="en-US" w:eastAsia="zh-CN"/>
        </w:rPr>
        <w:t>系统安全性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  <w:t>平台网络能力</w:t>
      </w: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要求</w:t>
      </w: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①平台网络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支持根据不同业务设置不同网络服务质量优先级；</w:t>
      </w: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②平台网络的吞吐率、传输时延、丢包率应满足高清视音频的生产、传输需求，网络性能指标应符合 GB/T 21671 的要求；</w:t>
      </w: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③平台支持源地址网络转发、弹性网络、网络 IP 地址资源池、端口转发、负载均衡等网络服务。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  <w:t>平台应用安全</w:t>
      </w: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要求</w:t>
      </w: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①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提供独立的登录控制模块，对登录应用系统的用户进行身份识别和鉴别，禁止多人使用同一用户名，管理用户的口令要有复杂度要求；</w:t>
      </w: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②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启用访问控制功能，依据安全策略控制用户对资源的访问，控制颗粒度为文件和数据库表级；</w:t>
      </w: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③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采用校验码、密码等技术手段，保证应用使用过程中的通信保密性，并确保通信过程中的数据完整性。</w:t>
      </w:r>
    </w:p>
    <w:p>
      <w:pPr>
        <w:numPr>
          <w:ilvl w:val="2"/>
          <w:numId w:val="4"/>
        </w:numPr>
        <w:tabs>
          <w:tab w:val="left" w:pos="312"/>
        </w:tabs>
        <w:bidi w:val="0"/>
        <w:ind w:left="709" w:hanging="709"/>
        <w:outlineLvl w:val="2"/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</w:pPr>
      <w:r>
        <w:rPr>
          <w:rFonts w:hint="default" w:ascii="Arial" w:hAnsi="Arial" w:eastAsia="微软雅黑" w:cs="Times New Roman"/>
          <w:b/>
          <w:kern w:val="2"/>
          <w:sz w:val="24"/>
          <w:szCs w:val="30"/>
          <w:lang w:val="en-US" w:eastAsia="zh-CN"/>
        </w:rPr>
        <w:t>平台数据安全</w:t>
      </w:r>
      <w:r>
        <w:rPr>
          <w:rFonts w:hint="eastAsia" w:ascii="Arial" w:hAnsi="Arial" w:eastAsia="微软雅黑" w:cs="Times New Roman"/>
          <w:b/>
          <w:kern w:val="2"/>
          <w:sz w:val="24"/>
          <w:szCs w:val="30"/>
          <w:lang w:val="en-US" w:eastAsia="zh-CN"/>
        </w:rPr>
        <w:t>要求</w:t>
      </w: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①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能够检测用户身份鉴别信息、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前后端交互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重要业务数据在传输过程中是否受到破坏；</w:t>
      </w: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②</w:t>
      </w:r>
      <w:r>
        <w:rPr>
          <w:rFonts w:hint="eastAsia" w:ascii="Calibri" w:hAnsi="Calibri" w:eastAsia="微软雅黑" w:cs="Times New Roman"/>
          <w:snapToGrid/>
          <w:sz w:val="24"/>
          <w:lang w:val="en-US" w:eastAsia="zh-CN"/>
        </w:rPr>
        <w:t>要求</w:t>
      </w:r>
      <w:r>
        <w:rPr>
          <w:rFonts w:hint="default" w:ascii="Calibri" w:hAnsi="Calibri" w:eastAsia="微软雅黑" w:cs="Times New Roman"/>
          <w:snapToGrid/>
          <w:sz w:val="24"/>
          <w:lang w:val="en-US" w:eastAsia="zh-CN"/>
        </w:rPr>
        <w:t>采取加密或其他技术手段防止敏感资源被非法访问。</w:t>
      </w:r>
    </w:p>
    <w:p>
      <w:pPr>
        <w:keepNext/>
        <w:keepLines/>
        <w:numPr>
          <w:ilvl w:val="0"/>
          <w:numId w:val="0"/>
        </w:numPr>
        <w:tabs>
          <w:tab w:val="left" w:pos="0"/>
        </w:tabs>
        <w:bidi w:val="0"/>
        <w:spacing w:before="50" w:beforeLines="50" w:line="288" w:lineRule="auto"/>
        <w:ind w:leftChars="0"/>
        <w:outlineLvl w:val="0"/>
        <w:rPr>
          <w:rFonts w:hint="default" w:ascii="Arial" w:hAnsi="Arial" w:eastAsia="微软雅黑" w:cs="Times New Roman"/>
          <w:b/>
          <w:bCs/>
          <w:kern w:val="44"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bCs/>
          <w:kern w:val="44"/>
          <w:sz w:val="24"/>
          <w:lang w:val="en-US" w:eastAsia="zh-CN"/>
        </w:rPr>
        <w:t>品目二 科研原始数据分布式存储系统  3台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配置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3个数据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节点，配置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360TB混闪对象裸容量终身许可。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2.数据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节点配置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(单节点)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：CPU：≥2颗主频2.5GHz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核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C86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处理器，内存：≥4*32GB DDR4，≥2块480GB SATA SSD，≥2块1.6TB NVMe 混合读写密集型SSD，≥10块12TB 7.2K HDD，≥1块阵列卡，≥2块冗余电源，≥2个千兆电口，≥4个万兆光口(含光模块）。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3.协议配置：配置对象存储协议接口，支持S3标准接口，Openstack Swift接口。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4.与品目一科研原始数据管理系统软件兼容互认。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5.纳入学校分布式对象存储管理平台统一管理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部署方式Scale-out横向扩展的分布式架构，节点间完全对称，无独立的元数据物理服务器或索引服务器；存储节点采用多节点冗余设计，性能随节点数量线性增加。具备横向扩展能力，最大横向扩展至4096个节点，支撑业务灵活扩展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7.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支持2-6副本和EC纠删码，同时支持在线修改副本数。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8.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图形管理界面概览页面可查看集群的数据状态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服务器状态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物理池状态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存储池状态及磁盘状态；系统的裸容量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有效容量和实际占用容量；物理池容量Top3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存储池容量Top3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磁盘容量使用分布。可查看单存储池3个月内总体性能指标，性能指标包括读写带宽，读写IOPS，PG均衡性。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9.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对不同类型的对象数据可以自定义存储策略，设定索引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缓存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数据存放的资源池。并且支持数据池可选存储级别（标准，低频访问，归档，深度归档）。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10.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支持WORM（写保护）,支持两种保留模式:监管模式和合规性模式。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11.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系统内置自助健康巡检，并生成巡检报告。报告内容须包含：告警分析，容量分析，性能分析，集群IOPS快照，集群带宽快照，集群时延快照，硬盘指标分析，网络指标分析等内容。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12.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可支持存储管理平台图形管理界面可以显示机柜（rack）内部存储节点整体的能耗管理，包括电压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电流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功率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频率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电量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在线状态情况。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13.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可支持存储管理平台图形管理上可以对存储节点环境的温度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湿度的数据采集进行显示。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14.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与现有存储安全管理设备无缝对接使用，可监控存储节点的能耗信息。</w:t>
      </w:r>
    </w:p>
    <w:p>
      <w:pPr>
        <w:snapToGrid w:val="0"/>
        <w:spacing w:after="50" w:afterLines="50" w:line="400" w:lineRule="exact"/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  <w:lang w:val="en-US" w:eastAsia="zh-CN"/>
        </w:rPr>
        <w:t>15.</w:t>
      </w:r>
      <w:r>
        <w:rPr>
          <w:rFonts w:hint="eastAsia" w:ascii="微软雅黑" w:hAnsi="微软雅黑" w:eastAsia="微软雅黑" w:cs="微软雅黑"/>
          <w:snapToGrid/>
          <w:color w:val="auto"/>
          <w:sz w:val="24"/>
          <w:szCs w:val="24"/>
        </w:rPr>
        <w:t>告警管理包括支持微信告警和邮件告警方式。</w:t>
      </w:r>
    </w:p>
    <w:p>
      <w:pPr>
        <w:keepNext/>
        <w:keepLines/>
        <w:numPr>
          <w:ilvl w:val="0"/>
          <w:numId w:val="0"/>
        </w:numPr>
        <w:tabs>
          <w:tab w:val="left" w:pos="0"/>
        </w:tabs>
        <w:bidi w:val="0"/>
        <w:spacing w:before="50" w:beforeLines="50" w:line="288" w:lineRule="auto"/>
        <w:ind w:leftChars="0"/>
        <w:outlineLvl w:val="0"/>
        <w:rPr>
          <w:rFonts w:hint="eastAsia" w:ascii="Arial" w:hAnsi="Arial" w:eastAsia="微软雅黑" w:cs="Times New Roman"/>
          <w:b/>
          <w:bCs/>
          <w:kern w:val="44"/>
          <w:sz w:val="24"/>
          <w:lang w:val="en-US" w:eastAsia="zh-CN"/>
        </w:rPr>
      </w:pPr>
      <w:r>
        <w:rPr>
          <w:rFonts w:hint="eastAsia" w:ascii="Arial" w:hAnsi="Arial" w:eastAsia="微软雅黑" w:cs="Times New Roman"/>
          <w:b/>
          <w:bCs/>
          <w:kern w:val="44"/>
          <w:sz w:val="24"/>
          <w:lang w:val="en-US" w:eastAsia="zh-CN"/>
        </w:rPr>
        <w:t>商务要求</w:t>
      </w:r>
    </w:p>
    <w:p>
      <w:pPr>
        <w:numPr>
          <w:ilvl w:val="0"/>
          <w:numId w:val="5"/>
        </w:numPr>
        <w:snapToGrid w:val="0"/>
        <w:spacing w:after="50" w:afterLines="50" w:line="312" w:lineRule="auto"/>
        <w:rPr>
          <w:rFonts w:hint="eastAsia" w:ascii="微软雅黑" w:hAnsi="微软雅黑" w:eastAsia="微软雅黑" w:cs="微软雅黑"/>
          <w:snapToGrid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sz w:val="24"/>
          <w:lang w:val="en-US" w:eastAsia="zh-CN"/>
        </w:rPr>
        <w:t>项目整体三年免费质保；</w:t>
      </w:r>
    </w:p>
    <w:p>
      <w:pPr>
        <w:numPr>
          <w:ilvl w:val="0"/>
          <w:numId w:val="5"/>
        </w:numPr>
        <w:snapToGrid w:val="0"/>
        <w:spacing w:after="50" w:afterLines="50" w:line="312" w:lineRule="auto"/>
        <w:rPr>
          <w:rFonts w:hint="eastAsia" w:ascii="微软雅黑" w:hAnsi="微软雅黑" w:eastAsia="微软雅黑" w:cs="微软雅黑"/>
          <w:snapToGrid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sz w:val="24"/>
          <w:lang w:val="en-US" w:eastAsia="zh-CN"/>
        </w:rPr>
        <w:t>供货期30个工作日。</w:t>
      </w: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</w:p>
    <w:p>
      <w:pPr>
        <w:snapToGrid w:val="0"/>
        <w:spacing w:after="50" w:afterLines="50" w:line="312" w:lineRule="auto"/>
        <w:rPr>
          <w:rFonts w:hint="default" w:ascii="Calibri" w:hAnsi="Calibri" w:eastAsia="微软雅黑" w:cs="Times New Roman"/>
          <w:snapToGrid/>
          <w:sz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9913B0E"/>
    <w:multiLevelType w:val="multilevel"/>
    <w:tmpl w:val="29913B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2FC2386A"/>
    <w:multiLevelType w:val="singleLevel"/>
    <w:tmpl w:val="2FC238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4MWQxZGI1NWMzMmUxZTE2MTZmMDFkODdiYTlkNWM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39732B"/>
    <w:rsid w:val="13CA71B6"/>
    <w:rsid w:val="18057EF9"/>
    <w:rsid w:val="19642045"/>
    <w:rsid w:val="1BA85501"/>
    <w:rsid w:val="1ECB2430"/>
    <w:rsid w:val="1F7A7466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32044B5"/>
    <w:rsid w:val="640669E7"/>
    <w:rsid w:val="69CF4947"/>
    <w:rsid w:val="6B43283B"/>
    <w:rsid w:val="6D2A4CBB"/>
    <w:rsid w:val="6EE80872"/>
    <w:rsid w:val="708B5A6B"/>
    <w:rsid w:val="757075B5"/>
    <w:rsid w:val="77D57A75"/>
    <w:rsid w:val="78525259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225</Characters>
  <Lines>108</Lines>
  <Paragraphs>30</Paragraphs>
  <TotalTime>0</TotalTime>
  <ScaleCrop>false</ScaleCrop>
  <LinksUpToDate>false</LinksUpToDate>
  <CharactersWithSpaces>314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2024-06-26T07:20:22Z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6893C5ACD242432EBE64AFE700C1DB88</vt:lpwstr>
  </property>
</Properties>
</file>